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94" w:rsidRDefault="00377C94" w:rsidP="00377C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377C94" w:rsidRDefault="00377C94" w:rsidP="00377C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Постановлению Главы городского округа </w:t>
      </w:r>
    </w:p>
    <w:p w:rsidR="00377C94" w:rsidRDefault="00377C94" w:rsidP="00377C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Электрогорск Московской области </w:t>
      </w:r>
    </w:p>
    <w:p w:rsidR="00377C94" w:rsidRDefault="00377C94" w:rsidP="00377C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05.12.2019 № 999</w:t>
      </w:r>
    </w:p>
    <w:p w:rsidR="0022175F" w:rsidRDefault="0022175F" w:rsidP="005E7C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7C94" w:rsidRPr="00694CA6" w:rsidRDefault="005E7C94" w:rsidP="00221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4CA6">
        <w:rPr>
          <w:rFonts w:ascii="Times New Roman" w:hAnsi="Times New Roman"/>
          <w:sz w:val="24"/>
          <w:szCs w:val="24"/>
        </w:rPr>
        <w:t>Паспорт</w:t>
      </w:r>
    </w:p>
    <w:p w:rsidR="005E7C94" w:rsidRPr="00694CA6" w:rsidRDefault="005E7C94" w:rsidP="00221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4CA6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/>
          <w:sz w:val="24"/>
          <w:szCs w:val="24"/>
        </w:rPr>
        <w:t>городского округа Электрогорск Московской области</w:t>
      </w:r>
    </w:p>
    <w:p w:rsidR="005E7C94" w:rsidRPr="00694CA6" w:rsidRDefault="005E7C94" w:rsidP="00221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4CA6">
        <w:rPr>
          <w:rFonts w:ascii="Times New Roman" w:hAnsi="Times New Roman"/>
          <w:sz w:val="24"/>
          <w:szCs w:val="24"/>
        </w:rPr>
        <w:t>«Безопасность и обеспечение безопасной жизнедеятельности населения»</w:t>
      </w:r>
    </w:p>
    <w:p w:rsidR="005E7C94" w:rsidRPr="00694CA6" w:rsidRDefault="005E7C94" w:rsidP="00221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4CA6">
        <w:rPr>
          <w:rFonts w:ascii="Times New Roman" w:hAnsi="Times New Roman"/>
          <w:sz w:val="24"/>
          <w:szCs w:val="24"/>
        </w:rPr>
        <w:t>на 2020-2024 годы</w:t>
      </w:r>
    </w:p>
    <w:p w:rsidR="00553112" w:rsidRDefault="00553112" w:rsidP="00221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5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851"/>
        <w:gridCol w:w="1683"/>
        <w:gridCol w:w="1393"/>
        <w:gridCol w:w="1393"/>
        <w:gridCol w:w="1273"/>
        <w:gridCol w:w="1273"/>
        <w:gridCol w:w="1404"/>
        <w:gridCol w:w="1465"/>
      </w:tblGrid>
      <w:tr w:rsidR="00553112" w:rsidRPr="00287BB3" w:rsidTr="00F64F21">
        <w:trPr>
          <w:trHeight w:val="20"/>
        </w:trPr>
        <w:tc>
          <w:tcPr>
            <w:tcW w:w="5851" w:type="dxa"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Координатор муниципальной программы</w:t>
            </w:r>
          </w:p>
        </w:tc>
        <w:tc>
          <w:tcPr>
            <w:tcW w:w="9884" w:type="dxa"/>
            <w:gridSpan w:val="7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Первый заместитель Главы А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>дминистр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ации городского округа Электрогорск </w:t>
            </w:r>
          </w:p>
        </w:tc>
      </w:tr>
      <w:tr w:rsidR="00553112" w:rsidRPr="00287BB3" w:rsidTr="00F64F21">
        <w:trPr>
          <w:trHeight w:val="20"/>
        </w:trPr>
        <w:tc>
          <w:tcPr>
            <w:tcW w:w="5851" w:type="dxa"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Муниципальный заказчик муниципальной программы</w:t>
            </w:r>
          </w:p>
        </w:tc>
        <w:tc>
          <w:tcPr>
            <w:tcW w:w="9884" w:type="dxa"/>
            <w:gridSpan w:val="7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 xml:space="preserve">Администрация городского округа </w:t>
            </w:r>
            <w:r>
              <w:rPr>
                <w:rFonts w:ascii="Times New Roman" w:hAnsi="Times New Roman"/>
                <w:sz w:val="18"/>
                <w:szCs w:val="18"/>
              </w:rPr>
              <w:t>Электрогорск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553112" w:rsidRPr="00287BB3" w:rsidTr="00F64F21">
        <w:trPr>
          <w:trHeight w:val="613"/>
        </w:trPr>
        <w:tc>
          <w:tcPr>
            <w:tcW w:w="5851" w:type="dxa"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9884" w:type="dxa"/>
            <w:gridSpan w:val="7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Комплексное обеспечение безопасности населения и объектов на терр</w:t>
            </w:r>
            <w:r>
              <w:rPr>
                <w:rFonts w:ascii="Times New Roman" w:hAnsi="Times New Roman"/>
                <w:sz w:val="18"/>
                <w:szCs w:val="18"/>
              </w:rPr>
              <w:t>итории городского округа Электрогорск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 xml:space="preserve"> Московской области, повышение уровня и результативности борьбы с преступностью</w:t>
            </w:r>
          </w:p>
        </w:tc>
      </w:tr>
      <w:tr w:rsidR="00553112" w:rsidRPr="00287BB3" w:rsidTr="00F64F21">
        <w:trPr>
          <w:trHeight w:val="348"/>
        </w:trPr>
        <w:tc>
          <w:tcPr>
            <w:tcW w:w="5851" w:type="dxa"/>
            <w:vMerge w:val="restart"/>
            <w:vAlign w:val="center"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Перечень подпрограмм</w:t>
            </w:r>
          </w:p>
        </w:tc>
        <w:tc>
          <w:tcPr>
            <w:tcW w:w="9884" w:type="dxa"/>
            <w:gridSpan w:val="7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1</w:t>
            </w:r>
            <w:r w:rsidRPr="00287BB3">
              <w:rPr>
                <w:rFonts w:ascii="Times New Roman" w:hAnsi="Times New Roman"/>
                <w:b/>
                <w:sz w:val="18"/>
                <w:szCs w:val="18"/>
              </w:rPr>
              <w:t>. Профилактика преступлений и иных правонарушений</w:t>
            </w:r>
          </w:p>
        </w:tc>
      </w:tr>
      <w:tr w:rsidR="00553112" w:rsidRPr="00287BB3" w:rsidTr="00F64F21">
        <w:trPr>
          <w:trHeight w:val="633"/>
        </w:trPr>
        <w:tc>
          <w:tcPr>
            <w:tcW w:w="5851" w:type="dxa"/>
            <w:vMerge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84" w:type="dxa"/>
            <w:gridSpan w:val="7"/>
          </w:tcPr>
          <w:p w:rsidR="00553112" w:rsidRPr="00C60FC6" w:rsidRDefault="00553112" w:rsidP="00B067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60FC6">
              <w:rPr>
                <w:rFonts w:ascii="Times New Roman" w:hAnsi="Times New Roman"/>
                <w:b/>
                <w:sz w:val="18"/>
                <w:szCs w:val="18"/>
              </w:rPr>
              <w:t xml:space="preserve">2.  Снижение рисков возникновения и смягчение последствий чрезвычайных ситуаций природного и техногенного характера </w:t>
            </w:r>
          </w:p>
        </w:tc>
      </w:tr>
      <w:tr w:rsidR="00553112" w:rsidRPr="00287BB3" w:rsidTr="00F64F21">
        <w:trPr>
          <w:trHeight w:val="20"/>
        </w:trPr>
        <w:tc>
          <w:tcPr>
            <w:tcW w:w="5851" w:type="dxa"/>
            <w:vMerge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84" w:type="dxa"/>
            <w:gridSpan w:val="7"/>
          </w:tcPr>
          <w:p w:rsidR="00553112" w:rsidRPr="00C60FC6" w:rsidRDefault="00553112" w:rsidP="00B067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60FC6">
              <w:rPr>
                <w:rFonts w:ascii="Times New Roman" w:hAnsi="Times New Roman"/>
                <w:b/>
                <w:sz w:val="18"/>
                <w:szCs w:val="18"/>
              </w:rPr>
              <w:t xml:space="preserve">3.  Развитие и совершенствование систем оповещения и информирования населения Московской области </w:t>
            </w:r>
          </w:p>
        </w:tc>
      </w:tr>
      <w:tr w:rsidR="00553112" w:rsidRPr="00287BB3" w:rsidTr="00F64F21">
        <w:trPr>
          <w:trHeight w:val="20"/>
        </w:trPr>
        <w:tc>
          <w:tcPr>
            <w:tcW w:w="5851" w:type="dxa"/>
            <w:vMerge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84" w:type="dxa"/>
            <w:gridSpan w:val="7"/>
          </w:tcPr>
          <w:p w:rsidR="00553112" w:rsidRPr="00C60FC6" w:rsidRDefault="00553112" w:rsidP="00B067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60FC6">
              <w:rPr>
                <w:rFonts w:ascii="Times New Roman" w:hAnsi="Times New Roman"/>
                <w:b/>
                <w:sz w:val="18"/>
                <w:szCs w:val="18"/>
              </w:rPr>
              <w:t xml:space="preserve">4.  Обеспечение мероприятий гражданской обороны </w:t>
            </w:r>
          </w:p>
        </w:tc>
      </w:tr>
      <w:tr w:rsidR="00553112" w:rsidRPr="00287BB3" w:rsidTr="00F64F21">
        <w:trPr>
          <w:trHeight w:val="20"/>
        </w:trPr>
        <w:tc>
          <w:tcPr>
            <w:tcW w:w="5851" w:type="dxa"/>
            <w:vMerge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84" w:type="dxa"/>
            <w:gridSpan w:val="7"/>
          </w:tcPr>
          <w:p w:rsidR="00553112" w:rsidRPr="00C60FC6" w:rsidRDefault="00553112" w:rsidP="00B067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5. Обеспечение мероприятий гражданской обороны</w:t>
            </w:r>
          </w:p>
        </w:tc>
      </w:tr>
      <w:tr w:rsidR="00553112" w:rsidRPr="00287BB3" w:rsidTr="00F64F21">
        <w:trPr>
          <w:trHeight w:val="20"/>
        </w:trPr>
        <w:tc>
          <w:tcPr>
            <w:tcW w:w="5851" w:type="dxa"/>
            <w:vMerge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84" w:type="dxa"/>
            <w:gridSpan w:val="7"/>
          </w:tcPr>
          <w:p w:rsidR="00553112" w:rsidRPr="00C60FC6" w:rsidRDefault="00553112" w:rsidP="00B0670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6. Обеспечивающая </w:t>
            </w:r>
            <w:r w:rsidR="000106A0">
              <w:rPr>
                <w:rFonts w:ascii="Times New Roman" w:hAnsi="Times New Roman"/>
                <w:b/>
                <w:sz w:val="18"/>
                <w:szCs w:val="18"/>
              </w:rPr>
              <w:t>подпрограмма</w:t>
            </w:r>
          </w:p>
        </w:tc>
      </w:tr>
      <w:tr w:rsidR="00553112" w:rsidRPr="00287BB3" w:rsidTr="00F64F21">
        <w:trPr>
          <w:trHeight w:val="20"/>
        </w:trPr>
        <w:tc>
          <w:tcPr>
            <w:tcW w:w="7534" w:type="dxa"/>
            <w:gridSpan w:val="2"/>
            <w:vMerge w:val="restart"/>
          </w:tcPr>
          <w:p w:rsidR="00553112" w:rsidRPr="00287BB3" w:rsidRDefault="00553112" w:rsidP="00B06703">
            <w:pPr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Источники финансирования муниципальной программы, в том числе по годам: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201" w:type="dxa"/>
            <w:gridSpan w:val="6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Расходы (тыс. рублей)</w:t>
            </w:r>
          </w:p>
        </w:tc>
      </w:tr>
      <w:tr w:rsidR="00553112" w:rsidRPr="00287BB3" w:rsidTr="00F64F21">
        <w:trPr>
          <w:trHeight w:val="20"/>
        </w:trPr>
        <w:tc>
          <w:tcPr>
            <w:tcW w:w="7534" w:type="dxa"/>
            <w:gridSpan w:val="2"/>
            <w:vMerge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3" w:type="dxa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1393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3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="00923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3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404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465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</w:tr>
      <w:tr w:rsidR="00553112" w:rsidRPr="00287BB3" w:rsidTr="00F64F21">
        <w:trPr>
          <w:trHeight w:val="251"/>
        </w:trPr>
        <w:tc>
          <w:tcPr>
            <w:tcW w:w="7534" w:type="dxa"/>
            <w:gridSpan w:val="2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93" w:type="dxa"/>
          </w:tcPr>
          <w:p w:rsidR="00553112" w:rsidRPr="00287BB3" w:rsidRDefault="00B221C1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834</w:t>
            </w:r>
            <w:r w:rsidR="0055311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393" w:type="dxa"/>
          </w:tcPr>
          <w:p w:rsidR="00553112" w:rsidRPr="00287BB3" w:rsidRDefault="007F2E8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194,00</w:t>
            </w:r>
          </w:p>
        </w:tc>
        <w:tc>
          <w:tcPr>
            <w:tcW w:w="1273" w:type="dxa"/>
          </w:tcPr>
          <w:p w:rsidR="00553112" w:rsidRPr="00F64F21" w:rsidRDefault="00923E13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169</w:t>
            </w:r>
            <w:r w:rsidR="00553112" w:rsidRPr="00F64F21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3" w:type="dxa"/>
          </w:tcPr>
          <w:p w:rsidR="00553112" w:rsidRPr="00F64F21" w:rsidRDefault="00D52CDD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157</w:t>
            </w:r>
            <w:r w:rsidR="00553112" w:rsidRPr="00F64F21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04" w:type="dxa"/>
          </w:tcPr>
          <w:p w:rsidR="00553112" w:rsidRPr="00F64F21" w:rsidRDefault="00D52CDD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157</w:t>
            </w:r>
            <w:r w:rsidR="00553112" w:rsidRPr="00F64F21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465" w:type="dxa"/>
          </w:tcPr>
          <w:p w:rsidR="00553112" w:rsidRPr="00F64F21" w:rsidRDefault="00D52CDD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157</w:t>
            </w:r>
            <w:r w:rsidR="00553112" w:rsidRPr="00F64F21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D52CDD" w:rsidRPr="00287BB3" w:rsidTr="00F64F21">
        <w:trPr>
          <w:trHeight w:val="20"/>
        </w:trPr>
        <w:tc>
          <w:tcPr>
            <w:tcW w:w="7534" w:type="dxa"/>
            <w:gridSpan w:val="2"/>
          </w:tcPr>
          <w:p w:rsidR="00D52CDD" w:rsidRPr="00287BB3" w:rsidRDefault="00D52CDD" w:rsidP="00D52CD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округа </w:t>
            </w:r>
            <w:r>
              <w:rPr>
                <w:rFonts w:ascii="Times New Roman" w:hAnsi="Times New Roman"/>
                <w:sz w:val="18"/>
                <w:szCs w:val="18"/>
              </w:rPr>
              <w:t>Электрогорск</w:t>
            </w:r>
            <w:r w:rsidRPr="00287BB3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393" w:type="dxa"/>
          </w:tcPr>
          <w:p w:rsidR="00D52CDD" w:rsidRPr="00287BB3" w:rsidRDefault="00B221C1" w:rsidP="00D52C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157706,231</w:t>
            </w:r>
          </w:p>
        </w:tc>
        <w:tc>
          <w:tcPr>
            <w:tcW w:w="1393" w:type="dxa"/>
          </w:tcPr>
          <w:p w:rsidR="00D52CDD" w:rsidRPr="00287BB3" w:rsidRDefault="007F2E82" w:rsidP="00D52C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41416,670</w:t>
            </w:r>
          </w:p>
        </w:tc>
        <w:tc>
          <w:tcPr>
            <w:tcW w:w="1273" w:type="dxa"/>
          </w:tcPr>
          <w:p w:rsidR="00D52CDD" w:rsidRPr="00F64F21" w:rsidRDefault="00E53F6B" w:rsidP="00E53F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39544,841</w:t>
            </w:r>
          </w:p>
        </w:tc>
        <w:tc>
          <w:tcPr>
            <w:tcW w:w="1273" w:type="dxa"/>
            <w:vAlign w:val="center"/>
          </w:tcPr>
          <w:p w:rsidR="00D52CDD" w:rsidRPr="00F64F21" w:rsidRDefault="00D52CDD" w:rsidP="00D52CDD">
            <w:pPr>
              <w:jc w:val="center"/>
              <w:divId w:val="481195424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26 497,24</w:t>
            </w:r>
          </w:p>
        </w:tc>
        <w:tc>
          <w:tcPr>
            <w:tcW w:w="1404" w:type="dxa"/>
            <w:vAlign w:val="center"/>
          </w:tcPr>
          <w:p w:rsidR="00D52CDD" w:rsidRPr="00F64F21" w:rsidRDefault="00D52CDD" w:rsidP="00D52CDD">
            <w:pPr>
              <w:jc w:val="center"/>
              <w:divId w:val="871040663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25 123,74</w:t>
            </w:r>
          </w:p>
        </w:tc>
        <w:tc>
          <w:tcPr>
            <w:tcW w:w="1465" w:type="dxa"/>
            <w:vAlign w:val="center"/>
          </w:tcPr>
          <w:p w:rsidR="00D52CDD" w:rsidRPr="00F64F21" w:rsidRDefault="00D52CDD" w:rsidP="00D52CDD">
            <w:pPr>
              <w:jc w:val="center"/>
              <w:divId w:val="1762600089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25 123,74</w:t>
            </w:r>
          </w:p>
        </w:tc>
      </w:tr>
      <w:tr w:rsidR="00553112" w:rsidRPr="00287BB3" w:rsidTr="00F64F21">
        <w:trPr>
          <w:trHeight w:val="20"/>
        </w:trPr>
        <w:tc>
          <w:tcPr>
            <w:tcW w:w="7534" w:type="dxa"/>
            <w:gridSpan w:val="2"/>
          </w:tcPr>
          <w:p w:rsidR="00553112" w:rsidRPr="00287BB3" w:rsidRDefault="00553112" w:rsidP="00B0670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93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93" w:type="dxa"/>
          </w:tcPr>
          <w:p w:rsidR="00553112" w:rsidRPr="00287BB3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3" w:type="dxa"/>
          </w:tcPr>
          <w:p w:rsidR="00553112" w:rsidRPr="00F64F21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3" w:type="dxa"/>
          </w:tcPr>
          <w:p w:rsidR="00553112" w:rsidRPr="00F64F21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04" w:type="dxa"/>
          </w:tcPr>
          <w:p w:rsidR="00553112" w:rsidRPr="00F64F21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65" w:type="dxa"/>
          </w:tcPr>
          <w:p w:rsidR="00553112" w:rsidRPr="00F64F21" w:rsidRDefault="00553112" w:rsidP="00B067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2C0433" w:rsidRPr="00287BB3" w:rsidTr="00F64F21">
        <w:trPr>
          <w:trHeight w:val="20"/>
        </w:trPr>
        <w:tc>
          <w:tcPr>
            <w:tcW w:w="7534" w:type="dxa"/>
            <w:gridSpan w:val="2"/>
          </w:tcPr>
          <w:p w:rsidR="002C0433" w:rsidRPr="00287BB3" w:rsidRDefault="002C0433" w:rsidP="002C043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BB3">
              <w:rPr>
                <w:rFonts w:ascii="Times New Roman" w:hAnsi="Times New Roman"/>
                <w:sz w:val="18"/>
                <w:szCs w:val="18"/>
              </w:rPr>
              <w:t>Всего, в том числе по годам:</w:t>
            </w:r>
          </w:p>
        </w:tc>
        <w:tc>
          <w:tcPr>
            <w:tcW w:w="1393" w:type="dxa"/>
          </w:tcPr>
          <w:p w:rsidR="002C0433" w:rsidRPr="00287BB3" w:rsidRDefault="002C0433" w:rsidP="002C04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221C1">
              <w:rPr>
                <w:rFonts w:ascii="Times New Roman" w:hAnsi="Times New Roman"/>
                <w:noProof/>
                <w:sz w:val="18"/>
                <w:szCs w:val="18"/>
              </w:rPr>
              <w:t>158540,231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393" w:type="dxa"/>
          </w:tcPr>
          <w:p w:rsidR="002C0433" w:rsidRPr="00287BB3" w:rsidRDefault="002C0433" w:rsidP="002C04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F2E82">
              <w:rPr>
                <w:rFonts w:ascii="Times New Roman" w:hAnsi="Times New Roman"/>
                <w:noProof/>
                <w:sz w:val="18"/>
                <w:szCs w:val="18"/>
              </w:rPr>
              <w:t>41610,67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3" w:type="dxa"/>
          </w:tcPr>
          <w:p w:rsidR="002C0433" w:rsidRPr="000B7540" w:rsidRDefault="00E53F6B" w:rsidP="000B7540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F64F21"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F64F21">
              <w:rPr>
                <w:rFonts w:ascii="Times New Roman" w:hAnsi="Times New Roman"/>
                <w:sz w:val="18"/>
                <w:szCs w:val="18"/>
              </w:rPr>
              <w:t>39</w: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0B7540">
              <w:rPr>
                <w:rFonts w:ascii="Times New Roman" w:hAnsi="Times New Roman"/>
                <w:sz w:val="18"/>
                <w:szCs w:val="18"/>
                <w:lang w:val="en-US"/>
              </w:rPr>
              <w:t>370.841</w:t>
            </w:r>
            <w:bookmarkStart w:id="0" w:name="_GoBack"/>
            <w:bookmarkEnd w:id="0"/>
          </w:p>
        </w:tc>
        <w:tc>
          <w:tcPr>
            <w:tcW w:w="1273" w:type="dxa"/>
          </w:tcPr>
          <w:p w:rsidR="002C0433" w:rsidRPr="00F64F21" w:rsidRDefault="00E53F6B" w:rsidP="00E53F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F64F21"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F64F21">
              <w:rPr>
                <w:rFonts w:ascii="Times New Roman" w:hAnsi="Times New Roman"/>
                <w:sz w:val="18"/>
                <w:szCs w:val="18"/>
              </w:rPr>
              <w:t>26 654,24</w: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404" w:type="dxa"/>
          </w:tcPr>
          <w:p w:rsidR="002C0433" w:rsidRPr="00F64F21" w:rsidRDefault="00E53F6B" w:rsidP="00E53F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F64F21"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F64F21">
              <w:rPr>
                <w:rFonts w:ascii="Times New Roman" w:hAnsi="Times New Roman"/>
                <w:sz w:val="18"/>
                <w:szCs w:val="18"/>
              </w:rPr>
              <w:t>25 280,74</w: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</w:tcPr>
          <w:p w:rsidR="002C0433" w:rsidRPr="00F64F21" w:rsidRDefault="00E53F6B" w:rsidP="002C04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4F21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F64F21">
              <w:rPr>
                <w:rFonts w:ascii="Times New Roman" w:hAnsi="Times New Roman"/>
                <w:sz w:val="18"/>
                <w:szCs w:val="18"/>
              </w:rPr>
              <w:instrText xml:space="preserve"> =SUM(ABOVE) </w:instrTex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F64F21">
              <w:rPr>
                <w:rFonts w:ascii="Times New Roman" w:hAnsi="Times New Roman"/>
                <w:sz w:val="18"/>
                <w:szCs w:val="18"/>
              </w:rPr>
              <w:t>25 280,74</w:t>
            </w:r>
            <w:r w:rsidRPr="00F64F21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</w:tbl>
    <w:p w:rsidR="00BB0CE4" w:rsidRDefault="00BB0CE4" w:rsidP="00D35967"/>
    <w:p w:rsidR="00BB0CE4" w:rsidRDefault="00BB0CE4" w:rsidP="00BB0CE4">
      <w:pPr>
        <w:pStyle w:val="a8"/>
        <w:spacing w:before="0" w:beforeAutospacing="0" w:after="0" w:afterAutospacing="0"/>
      </w:pPr>
      <w:r>
        <w:t xml:space="preserve">I. Общая характеристика сферы реализации муниципальной программы, основные проблемы в сфере безопасности и борьбы с преступностью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Обеспечение безопасности городского округа Электрогорск Московской области является необходимым условием обеспечения жизни и деятельности жителей округа, соблюдения их законных прав и свобод, эффективного функционирования системы управления, экономики, </w:t>
      </w:r>
      <w:r>
        <w:lastRenderedPageBreak/>
        <w:t xml:space="preserve">сохранения на необходимом уровне параметров среды обитания, развития социальной и духовной сфер общества. Практика и накопленный за последние годы опыт реализации задач по обеспечению безопасности граждан округа свидетельствуют о необходимости внедрения комплексного подхода в этой работе.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Совместную целенаправленную деятельность органов местного самоуправления округа, Межмуниципального отдела МВД России «Павлово-Посадский»», 5 отделения 2 окружного отдела УФСБ РФ по г. Москве и Московской области, других правоохранительных органов, а также территориального отдела надзорной деятельности ГУ МЧС России по Московской области, 41ПЧ ГКУ 23 ОФПС ГУ МЧС России по Московской области, планируется вести в ходе реализации мероприятий муниципальной программы городского округа Электрогорск «Безопасность и обеспечение безопасности жизнедеятельности на 2020-2024 годы» в области профилактики правонарушений, борьбы с преступностью и обеспечению безопасности граждан на территории округа, с целью избежать обострения криминогенной обстановки, стабилизировать воздействие на нее негативных факторов, сократить количество пожаров и не допустить гибели людей при пожарах и на воде.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Состояние оперативной обстановки характеризуется снижением количества зарегистрированных преступлений. Так число зарегистрированных преступлений на территории округа снизилось на 11,9%.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Число тяжких и особо тяжких составов увеличилось на 2,1 %, в том числе общеуголовной направленности – на 2,2 %.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В анализируемом периоде число умышленных убийств сократилось на 77,8 %, убийств на бытовой почве не зарегистрировано.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Число преступлений, связанных с умышленным причинением тяжкого вреда здоровью, сократилось на 40 %, в том числе преступления данной категории со смертельным исходом снизились на 83,3 %.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В структуре преступлений, зарегистрированных на территории обслуживания, преобладающую часть составляют кражи – их удельный вес 43,1%. Всего в отчетном периоде зарегистрировано 48 краж, из них по видам: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- ст. 158 ч.1 – 15 (АППГ-4); ст. 158 ч.2 – 22 (АППГ-28); ст. 158 ч.3,4 – 11(АППГ-11).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Осуществление контрольно-надзорных функций в сфере миграции позволило сократить число преступлений совершенных иностранцами – 33,3 %, а также жителями других регионов – на 32,9 %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Зарегистрировано больше преступлений, совершенных в общественных местах – на 3,4 %, в том числе уличных преступлений – на 6 %.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Несмотря на принимаемые меры, произошел рост числа преступных деяний, совершенных несовершеннолетними и при их участии. Количество таких преступлений увеличилось на 77,8 %.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Основными угрозообразующими факторами, влияющими на обстановку в области противодействия терроризму в Московской области, могут иметь место и на территории городского округа Электрогорск, а именно: </w:t>
      </w:r>
    </w:p>
    <w:p w:rsidR="00BB0CE4" w:rsidRDefault="00BB0CE4" w:rsidP="00715CE5">
      <w:pPr>
        <w:pStyle w:val="a8"/>
        <w:spacing w:before="0" w:beforeAutospacing="0" w:after="0" w:afterAutospacing="0"/>
        <w:ind w:right="-141"/>
      </w:pPr>
      <w:r>
        <w:t xml:space="preserve">- попытки формирования международными террористическими организациями боевых ячеек на территории городского округа - не </w:t>
      </w:r>
      <w:r w:rsidR="00715CE5">
        <w:t>з</w:t>
      </w:r>
      <w:r>
        <w:t xml:space="preserve">афиксированы;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- возвращение к местам постоянного проживания жителей городского округа Электрогорск, получивших практический боевой опыт в составе МТО в Сирии и других регионах мира – не зафиксировано;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- распространение в сети Интернет материалов, пропагандирующих идеологию терроризма - угроза сохраняется, факты не зафиксированы;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Недостатки в антитеррористической защищенности потенциальных объектов террористических посягательств – основная часть бюджетных средств подпрограммы «Профилактика преступлений и иных правонарушений» запланирована на реализацию требований Постановлений Правительства Российской Федерации в сфере обеспечения антитеррористической защищенности муниципальных объектов городского округа Электрогорск.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Основные тенденции состояния криминогенной обстановки продолжают сохраняться.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lastRenderedPageBreak/>
        <w:t xml:space="preserve">Наибольшую опасность представляет распространение наркотиков в образовательных учреждениях и развлекательных заведениях.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Сложившееся положение требует разработки и реализации долгосрочных мер, направленных на решение задач профилактики преступлений и правонарушений, повышения защищенности населения округа, которые на современном этапе являются одними из наиболее приоритетных.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Пропаганда и осуществление среди учащихся образовательных учреждений мероприятий по добровольному тестированию, участие специалистов-наркологов в диспансеризациях и медицинских осмотрах учащихся, оснащение наркологических отделений медицинских учреждений современным медицинским оборудованием позволят выявлять на ранних стадиях лиц, незаконно потребляющих наркотики, повысят эффективность лечения и медико-социальной реабилитации больных наркоманией.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Важным фактором устойчивого социально-экономического развития округа является обеспечение необходимого уровня пожарной безопасности и минимизация потерь вследствие пожаров.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На территории округа расположены 2 пожароопасных объектов топливно-заправочного комплекса и 1 потенциально-опасный объект, 2 объекта жизнеобеспечения населения (ВЗУ).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около 100 человек, проживающих в округе.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Территория округа подвержена воздействию опасных природных факторов, из которых наибольшую опасность представляют торфяные пожары. При этом экономика округа будет нести значительные потери.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Современное состояние городского звена системы предупреждения и ликвидации чрезвычайных ситуаций (далее – ГЗ МОСЧС) требует комплексного решения проблемы защиты населения и территории округа от чрезвычайных ситуаций и обеспечения безопасности на водных объектах. В основном это инженерно-технологические меры, непосредственно направленные на повышение безопасности функционирования соответствующих объектов и предусматривающие улучшение качества проектирования, строительства и монтажа, замену основных фондов на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более совершенные, внедрение энерго-, ресурсосберегающих и других современных технологий, появление эффективных систем технологического контроля и диагностики, безаварийной остановки технологических процессов, локализации или ликвидации аварийных ситуаций. </w:t>
      </w:r>
    </w:p>
    <w:p w:rsidR="00BB0CE4" w:rsidRDefault="00BB0CE4" w:rsidP="00B55ACA">
      <w:pPr>
        <w:pStyle w:val="a8"/>
        <w:spacing w:before="0" w:beforeAutospacing="0" w:after="0" w:afterAutospacing="0"/>
        <w:ind w:firstLine="708"/>
      </w:pPr>
      <w:r>
        <w:t xml:space="preserve">Покрытие территории округа действующей системой оповещения и информирования населения составляет: 100%- территории городского округа и 80%- населения. </w:t>
      </w:r>
    </w:p>
    <w:p w:rsidR="00BB0CE4" w:rsidRDefault="00BB0CE4" w:rsidP="00BB0CE4">
      <w:pPr>
        <w:pStyle w:val="a8"/>
        <w:spacing w:before="0" w:beforeAutospacing="0" w:after="0" w:afterAutospacing="0"/>
      </w:pPr>
      <w: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 и связи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округа,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 </w:t>
      </w:r>
    </w:p>
    <w:p w:rsidR="007A14C1" w:rsidRPr="00BB0CE4" w:rsidRDefault="00BB0CE4" w:rsidP="004258E0">
      <w:pPr>
        <w:pStyle w:val="a8"/>
        <w:spacing w:before="0" w:beforeAutospacing="0" w:after="0" w:afterAutospacing="0"/>
      </w:pPr>
      <w:r>
        <w:t xml:space="preserve">На территории округа расположено 2 защитных сооружения гражданской обороны (ЗС ГО) не готовых к приему укрываемых, 29 укрытий (заглубленных помещений) готовых к приему укрываемых. Для экстренного укрытия населения от обычных средств поражения необходимо содержать имеющийся фонд заглубленных помещений подземного пространства. </w:t>
      </w:r>
    </w:p>
    <w:sectPr w:rsidR="007A14C1" w:rsidRPr="00BB0CE4" w:rsidSect="00B55ACA">
      <w:pgSz w:w="16838" w:h="11906" w:orient="landscape"/>
      <w:pgMar w:top="426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A7" w:rsidRDefault="008349A7">
      <w:pPr>
        <w:spacing w:after="0" w:line="240" w:lineRule="auto"/>
      </w:pPr>
      <w:r>
        <w:separator/>
      </w:r>
    </w:p>
  </w:endnote>
  <w:endnote w:type="continuationSeparator" w:id="0">
    <w:p w:rsidR="008349A7" w:rsidRDefault="0083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A7" w:rsidRDefault="008349A7">
      <w:pPr>
        <w:spacing w:after="0" w:line="240" w:lineRule="auto"/>
      </w:pPr>
      <w:r>
        <w:separator/>
      </w:r>
    </w:p>
  </w:footnote>
  <w:footnote w:type="continuationSeparator" w:id="0">
    <w:p w:rsidR="008349A7" w:rsidRDefault="0083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E20A4"/>
    <w:multiLevelType w:val="hybridMultilevel"/>
    <w:tmpl w:val="0F266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94CB8"/>
    <w:multiLevelType w:val="hybridMultilevel"/>
    <w:tmpl w:val="43DE2C36"/>
    <w:lvl w:ilvl="0" w:tplc="8708B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B0"/>
    <w:rsid w:val="000106A0"/>
    <w:rsid w:val="00042CB0"/>
    <w:rsid w:val="000B7540"/>
    <w:rsid w:val="001D6DC7"/>
    <w:rsid w:val="0022175F"/>
    <w:rsid w:val="002C0433"/>
    <w:rsid w:val="00377C94"/>
    <w:rsid w:val="004258E0"/>
    <w:rsid w:val="00540BF3"/>
    <w:rsid w:val="00553112"/>
    <w:rsid w:val="0059588E"/>
    <w:rsid w:val="005E7C94"/>
    <w:rsid w:val="006028FA"/>
    <w:rsid w:val="0066388D"/>
    <w:rsid w:val="00695FA2"/>
    <w:rsid w:val="00715CE5"/>
    <w:rsid w:val="007946D4"/>
    <w:rsid w:val="007A14C1"/>
    <w:rsid w:val="007F2E82"/>
    <w:rsid w:val="008349A7"/>
    <w:rsid w:val="00923E13"/>
    <w:rsid w:val="009912F7"/>
    <w:rsid w:val="00B221C1"/>
    <w:rsid w:val="00B55ACA"/>
    <w:rsid w:val="00BB0CE4"/>
    <w:rsid w:val="00D35967"/>
    <w:rsid w:val="00D52CDD"/>
    <w:rsid w:val="00E53F6B"/>
    <w:rsid w:val="00E707C7"/>
    <w:rsid w:val="00F6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0EAA"/>
  <w15:chartTrackingRefBased/>
  <w15:docId w15:val="{9C94F178-C2BA-41EF-8D35-24CF414E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1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72"/>
    <w:qFormat/>
    <w:rsid w:val="00553112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uiPriority w:val="72"/>
    <w:locked/>
    <w:rsid w:val="0055311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553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3112"/>
    <w:rPr>
      <w:rFonts w:ascii="Calibri" w:eastAsia="Calibri" w:hAnsi="Calibri" w:cs="Times New Roman"/>
    </w:rPr>
  </w:style>
  <w:style w:type="paragraph" w:styleId="a7">
    <w:name w:val="No Spacing"/>
    <w:uiPriority w:val="99"/>
    <w:qFormat/>
    <w:rsid w:val="0055311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BB0C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D52CD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2CD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2CDD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2CD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2CDD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52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52CDD"/>
    <w:rPr>
      <w:rFonts w:ascii="Segoe UI" w:eastAsia="Calibr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663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638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Михайл. Любомудрова</dc:creator>
  <cp:keywords/>
  <dc:description/>
  <cp:lastModifiedBy>Голованова.Елена Дмитриевна</cp:lastModifiedBy>
  <cp:revision>15</cp:revision>
  <dcterms:created xsi:type="dcterms:W3CDTF">2019-11-13T09:02:00Z</dcterms:created>
  <dcterms:modified xsi:type="dcterms:W3CDTF">2021-11-11T07:32:00Z</dcterms:modified>
</cp:coreProperties>
</file>