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56B" w:rsidRDefault="00B5156B" w:rsidP="004A1FDD">
      <w:pPr>
        <w:pStyle w:val="ConsPlusTitle"/>
        <w:jc w:val="center"/>
        <w:outlineLvl w:val="0"/>
        <w:rPr>
          <w:rFonts w:ascii="Times New Roman" w:hAnsi="Times New Roman" w:cs="Times New Roman"/>
          <w:sz w:val="24"/>
          <w:szCs w:val="24"/>
        </w:rPr>
      </w:pPr>
    </w:p>
    <w:p w:rsidR="00B5156B" w:rsidRDefault="00B5156B" w:rsidP="004A1FDD">
      <w:pPr>
        <w:pStyle w:val="ConsPlusTitle"/>
        <w:jc w:val="center"/>
        <w:outlineLvl w:val="0"/>
        <w:rPr>
          <w:rFonts w:ascii="Times New Roman" w:hAnsi="Times New Roman" w:cs="Times New Roman"/>
          <w:sz w:val="28"/>
          <w:szCs w:val="28"/>
        </w:rPr>
      </w:pPr>
    </w:p>
    <w:p w:rsidR="00A16275" w:rsidRDefault="00A16275" w:rsidP="00653FAB">
      <w:pPr>
        <w:pStyle w:val="ConsPlusTitle"/>
        <w:outlineLvl w:val="0"/>
        <w:rPr>
          <w:rFonts w:ascii="Times New Roman" w:hAnsi="Times New Roman" w:cs="Times New Roman"/>
          <w:sz w:val="28"/>
          <w:szCs w:val="28"/>
        </w:rPr>
      </w:pPr>
    </w:p>
    <w:p w:rsidR="008874FC" w:rsidRDefault="008874FC" w:rsidP="004A1FDD">
      <w:pPr>
        <w:pStyle w:val="ConsPlusTitle"/>
        <w:jc w:val="center"/>
        <w:outlineLvl w:val="0"/>
        <w:rPr>
          <w:rFonts w:ascii="Times New Roman" w:hAnsi="Times New Roman" w:cs="Times New Roman"/>
          <w:sz w:val="28"/>
          <w:szCs w:val="28"/>
        </w:rPr>
      </w:pPr>
    </w:p>
    <w:p w:rsidR="00B5156B" w:rsidRPr="00B5156B" w:rsidRDefault="00B5156B" w:rsidP="004A1FDD">
      <w:pPr>
        <w:pStyle w:val="ConsPlusTitle"/>
        <w:jc w:val="center"/>
        <w:outlineLvl w:val="0"/>
        <w:rPr>
          <w:rFonts w:ascii="Times New Roman" w:hAnsi="Times New Roman" w:cs="Times New Roman"/>
          <w:sz w:val="28"/>
          <w:szCs w:val="28"/>
        </w:rPr>
      </w:pPr>
      <w:r w:rsidRPr="00B5156B">
        <w:rPr>
          <w:rFonts w:ascii="Times New Roman" w:hAnsi="Times New Roman" w:cs="Times New Roman"/>
          <w:sz w:val="28"/>
          <w:szCs w:val="28"/>
        </w:rPr>
        <w:t>ПАСПОРТ</w:t>
      </w:r>
    </w:p>
    <w:p w:rsidR="004A1FDD" w:rsidRPr="00B5156B" w:rsidRDefault="00B5156B" w:rsidP="004A1FDD">
      <w:pPr>
        <w:pStyle w:val="ConsPlusTitle"/>
        <w:jc w:val="center"/>
        <w:outlineLvl w:val="0"/>
        <w:rPr>
          <w:rFonts w:ascii="Times New Roman" w:hAnsi="Times New Roman" w:cs="Times New Roman"/>
          <w:sz w:val="28"/>
          <w:szCs w:val="28"/>
        </w:rPr>
      </w:pPr>
      <w:r w:rsidRPr="00B5156B">
        <w:rPr>
          <w:rFonts w:ascii="Times New Roman" w:hAnsi="Times New Roman" w:cs="Times New Roman"/>
          <w:sz w:val="28"/>
          <w:szCs w:val="28"/>
        </w:rPr>
        <w:t>МУНИЦИПАЛЬНОЙ ПРОГРАММЫ</w:t>
      </w:r>
    </w:p>
    <w:p w:rsidR="00CC26AD" w:rsidRPr="00653FAB" w:rsidRDefault="00D513CF" w:rsidP="00653FAB">
      <w:pPr>
        <w:pStyle w:val="ConsPlusTitle"/>
        <w:jc w:val="center"/>
        <w:outlineLvl w:val="0"/>
        <w:rPr>
          <w:rFonts w:ascii="Times New Roman" w:hAnsi="Times New Roman" w:cs="Times New Roman"/>
          <w:sz w:val="28"/>
          <w:szCs w:val="28"/>
        </w:rPr>
      </w:pPr>
      <w:r w:rsidRPr="00B5156B">
        <w:rPr>
          <w:rFonts w:ascii="Times New Roman" w:hAnsi="Times New Roman" w:cs="Times New Roman"/>
          <w:sz w:val="28"/>
          <w:szCs w:val="28"/>
        </w:rPr>
        <w:t xml:space="preserve"> «Развитие и функционирование дорожно-транспортного комплекса»</w:t>
      </w:r>
      <w:r w:rsidR="00E8570A">
        <w:rPr>
          <w:rFonts w:ascii="Times New Roman" w:hAnsi="Times New Roman" w:cs="Times New Roman"/>
          <w:sz w:val="28"/>
          <w:szCs w:val="28"/>
        </w:rPr>
        <w:t xml:space="preserve"> на 2020-2025</w:t>
      </w:r>
      <w:r w:rsidR="00B5156B" w:rsidRPr="00B5156B">
        <w:rPr>
          <w:rFonts w:ascii="Times New Roman" w:hAnsi="Times New Roman" w:cs="Times New Roman"/>
          <w:sz w:val="28"/>
          <w:szCs w:val="28"/>
        </w:rPr>
        <w:t xml:space="preserve"> годы</w:t>
      </w:r>
    </w:p>
    <w:p w:rsidR="00A16275" w:rsidRDefault="00A16275">
      <w:pPr>
        <w:pStyle w:val="ConsPlusNormal"/>
        <w:spacing w:before="220"/>
        <w:ind w:firstLine="540"/>
        <w:jc w:val="both"/>
        <w:rPr>
          <w:rFonts w:ascii="Times New Roman" w:hAnsi="Times New Roman" w:cs="Times New Roman"/>
        </w:rPr>
      </w:pPr>
    </w:p>
    <w:tbl>
      <w:tblPr>
        <w:tblW w:w="1502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56"/>
        <w:gridCol w:w="1843"/>
        <w:gridCol w:w="1701"/>
        <w:gridCol w:w="1559"/>
        <w:gridCol w:w="1560"/>
        <w:gridCol w:w="1417"/>
        <w:gridCol w:w="1559"/>
        <w:gridCol w:w="1532"/>
      </w:tblGrid>
      <w:tr w:rsidR="00B71019" w:rsidRPr="008874FC" w:rsidTr="00714D14">
        <w:trPr>
          <w:jc w:val="center"/>
        </w:trPr>
        <w:tc>
          <w:tcPr>
            <w:tcW w:w="3856" w:type="dxa"/>
            <w:tcBorders>
              <w:top w:val="single" w:sz="4" w:space="0" w:color="auto"/>
              <w:bottom w:val="single" w:sz="4" w:space="0" w:color="auto"/>
              <w:right w:val="single" w:sz="4" w:space="0" w:color="auto"/>
            </w:tcBorders>
          </w:tcPr>
          <w:p w:rsidR="00B71019" w:rsidRPr="008874FC" w:rsidRDefault="00B71019" w:rsidP="00C20309">
            <w:pPr>
              <w:widowControl w:val="0"/>
              <w:autoSpaceDE w:val="0"/>
              <w:autoSpaceDN w:val="0"/>
              <w:adjustRightInd w:val="0"/>
              <w:rPr>
                <w:rFonts w:eastAsiaTheme="minorEastAsia" w:cs="Times New Roman"/>
                <w:sz w:val="24"/>
                <w:szCs w:val="24"/>
                <w:lang w:eastAsia="ru-RU"/>
              </w:rPr>
            </w:pPr>
            <w:r w:rsidRPr="008874FC">
              <w:rPr>
                <w:rFonts w:eastAsiaTheme="minorEastAsia" w:cs="Times New Roman"/>
                <w:sz w:val="24"/>
                <w:szCs w:val="24"/>
                <w:lang w:eastAsia="ru-RU"/>
              </w:rPr>
              <w:t>Координатор муниципальной программы</w:t>
            </w:r>
          </w:p>
        </w:tc>
        <w:tc>
          <w:tcPr>
            <w:tcW w:w="11171" w:type="dxa"/>
            <w:gridSpan w:val="7"/>
            <w:tcBorders>
              <w:top w:val="single" w:sz="4" w:space="0" w:color="auto"/>
              <w:left w:val="single" w:sz="4" w:space="0" w:color="auto"/>
              <w:bottom w:val="single" w:sz="4" w:space="0" w:color="auto"/>
            </w:tcBorders>
          </w:tcPr>
          <w:p w:rsidR="00B71019" w:rsidRPr="008874FC" w:rsidRDefault="00FE5F1E" w:rsidP="00FE5F1E">
            <w:pPr>
              <w:widowControl w:val="0"/>
              <w:autoSpaceDE w:val="0"/>
              <w:autoSpaceDN w:val="0"/>
              <w:adjustRightInd w:val="0"/>
              <w:spacing w:line="276" w:lineRule="auto"/>
              <w:jc w:val="both"/>
              <w:rPr>
                <w:rFonts w:eastAsiaTheme="minorEastAsia" w:cs="Times New Roman"/>
                <w:i/>
                <w:sz w:val="24"/>
                <w:szCs w:val="24"/>
                <w:lang w:eastAsia="ru-RU"/>
              </w:rPr>
            </w:pPr>
            <w:r>
              <w:rPr>
                <w:rFonts w:eastAsiaTheme="minorEastAsia" w:cs="Times New Roman"/>
                <w:i/>
                <w:sz w:val="24"/>
                <w:szCs w:val="24"/>
                <w:lang w:eastAsia="ru-RU"/>
              </w:rPr>
              <w:t>З</w:t>
            </w:r>
            <w:r w:rsidR="00B5156B" w:rsidRPr="008874FC">
              <w:rPr>
                <w:rFonts w:eastAsiaTheme="minorEastAsia" w:cs="Times New Roman"/>
                <w:i/>
                <w:sz w:val="24"/>
                <w:szCs w:val="24"/>
                <w:lang w:eastAsia="ru-RU"/>
              </w:rPr>
              <w:t xml:space="preserve">аместитель главы Администрации городского округа Электрогорск Московской области       </w:t>
            </w:r>
          </w:p>
        </w:tc>
      </w:tr>
      <w:tr w:rsidR="00B71019" w:rsidRPr="008874FC" w:rsidTr="00714D14">
        <w:trPr>
          <w:jc w:val="center"/>
        </w:trPr>
        <w:tc>
          <w:tcPr>
            <w:tcW w:w="3856" w:type="dxa"/>
            <w:tcBorders>
              <w:top w:val="single" w:sz="4" w:space="0" w:color="auto"/>
              <w:bottom w:val="single" w:sz="4" w:space="0" w:color="auto"/>
              <w:right w:val="single" w:sz="4" w:space="0" w:color="auto"/>
            </w:tcBorders>
          </w:tcPr>
          <w:p w:rsidR="00B71019" w:rsidRPr="008874FC" w:rsidRDefault="00B71019" w:rsidP="00C20309">
            <w:pPr>
              <w:widowControl w:val="0"/>
              <w:autoSpaceDE w:val="0"/>
              <w:autoSpaceDN w:val="0"/>
              <w:adjustRightInd w:val="0"/>
              <w:rPr>
                <w:rFonts w:eastAsiaTheme="minorEastAsia" w:cs="Times New Roman"/>
                <w:sz w:val="24"/>
                <w:szCs w:val="24"/>
                <w:lang w:eastAsia="ru-RU"/>
              </w:rPr>
            </w:pPr>
            <w:r w:rsidRPr="008874FC">
              <w:rPr>
                <w:rFonts w:eastAsiaTheme="minorEastAsia" w:cs="Times New Roman"/>
                <w:sz w:val="24"/>
                <w:szCs w:val="24"/>
                <w:lang w:eastAsia="ru-RU"/>
              </w:rPr>
              <w:t>Муниципальный заказчик муниципальной программы</w:t>
            </w:r>
          </w:p>
        </w:tc>
        <w:tc>
          <w:tcPr>
            <w:tcW w:w="11171" w:type="dxa"/>
            <w:gridSpan w:val="7"/>
            <w:tcBorders>
              <w:top w:val="single" w:sz="4" w:space="0" w:color="auto"/>
              <w:left w:val="single" w:sz="4" w:space="0" w:color="auto"/>
              <w:bottom w:val="single" w:sz="4" w:space="0" w:color="auto"/>
            </w:tcBorders>
          </w:tcPr>
          <w:p w:rsidR="00B71019" w:rsidRPr="008874FC" w:rsidRDefault="00B5156B" w:rsidP="00653FAB">
            <w:pPr>
              <w:widowControl w:val="0"/>
              <w:autoSpaceDE w:val="0"/>
              <w:autoSpaceDN w:val="0"/>
              <w:adjustRightInd w:val="0"/>
              <w:spacing w:line="276" w:lineRule="auto"/>
              <w:jc w:val="both"/>
              <w:rPr>
                <w:rFonts w:eastAsiaTheme="minorEastAsia" w:cs="Times New Roman"/>
                <w:i/>
                <w:sz w:val="24"/>
                <w:szCs w:val="24"/>
                <w:lang w:eastAsia="ru-RU"/>
              </w:rPr>
            </w:pPr>
            <w:r w:rsidRPr="008874FC">
              <w:rPr>
                <w:rFonts w:eastAsiaTheme="minorEastAsia" w:cs="Times New Roman"/>
                <w:i/>
                <w:sz w:val="24"/>
                <w:szCs w:val="24"/>
                <w:lang w:eastAsia="ru-RU"/>
              </w:rPr>
              <w:t>Администрация городского округа Электрогорск Московской области, отдел транспорта и дорожной деятельности</w:t>
            </w:r>
          </w:p>
        </w:tc>
      </w:tr>
      <w:tr w:rsidR="00B71019" w:rsidRPr="008874FC" w:rsidTr="00714D14">
        <w:trPr>
          <w:jc w:val="center"/>
        </w:trPr>
        <w:tc>
          <w:tcPr>
            <w:tcW w:w="3856" w:type="dxa"/>
            <w:tcBorders>
              <w:top w:val="single" w:sz="4" w:space="0" w:color="auto"/>
              <w:bottom w:val="single" w:sz="4" w:space="0" w:color="auto"/>
              <w:right w:val="single" w:sz="4" w:space="0" w:color="auto"/>
            </w:tcBorders>
          </w:tcPr>
          <w:p w:rsidR="00B71019" w:rsidRPr="008874FC" w:rsidRDefault="00B71019" w:rsidP="00C20309">
            <w:pPr>
              <w:widowControl w:val="0"/>
              <w:autoSpaceDE w:val="0"/>
              <w:autoSpaceDN w:val="0"/>
              <w:adjustRightInd w:val="0"/>
              <w:rPr>
                <w:rFonts w:eastAsiaTheme="minorEastAsia" w:cs="Times New Roman"/>
                <w:sz w:val="24"/>
                <w:szCs w:val="24"/>
                <w:lang w:eastAsia="ru-RU"/>
              </w:rPr>
            </w:pPr>
            <w:r w:rsidRPr="008874FC">
              <w:rPr>
                <w:rFonts w:eastAsiaTheme="minorEastAsia" w:cs="Times New Roman"/>
                <w:sz w:val="24"/>
                <w:szCs w:val="24"/>
                <w:lang w:eastAsia="ru-RU"/>
              </w:rPr>
              <w:t>Цели муниципальной программы</w:t>
            </w:r>
          </w:p>
        </w:tc>
        <w:tc>
          <w:tcPr>
            <w:tcW w:w="11171" w:type="dxa"/>
            <w:gridSpan w:val="7"/>
            <w:tcBorders>
              <w:top w:val="single" w:sz="4" w:space="0" w:color="auto"/>
              <w:left w:val="single" w:sz="4" w:space="0" w:color="auto"/>
              <w:bottom w:val="single" w:sz="4" w:space="0" w:color="auto"/>
            </w:tcBorders>
          </w:tcPr>
          <w:p w:rsidR="00B5156B" w:rsidRPr="008874FC" w:rsidRDefault="00B5156B" w:rsidP="00653FAB">
            <w:pPr>
              <w:widowControl w:val="0"/>
              <w:autoSpaceDE w:val="0"/>
              <w:autoSpaceDN w:val="0"/>
              <w:adjustRightInd w:val="0"/>
              <w:spacing w:line="276" w:lineRule="auto"/>
              <w:jc w:val="both"/>
              <w:rPr>
                <w:rFonts w:cs="Times New Roman"/>
                <w:i/>
                <w:sz w:val="24"/>
                <w:szCs w:val="24"/>
              </w:rPr>
            </w:pPr>
            <w:r w:rsidRPr="008874FC">
              <w:rPr>
                <w:rFonts w:cs="Times New Roman"/>
                <w:i/>
                <w:sz w:val="24"/>
                <w:szCs w:val="24"/>
              </w:rPr>
              <w:t>1. Повышение доступности и качества транспортных услуг для населения городского округа Электрогорск Московской области. Мероприятия подпрограммы направлены на создание преимущественных условий для функционирования транспорта общего пользования, улучшение качества предоставляемых услуг, снижение транспортных расходов, повышение качества услуг и безопасности транспорта общего пользования.</w:t>
            </w:r>
          </w:p>
          <w:p w:rsidR="00B71019" w:rsidRPr="008874FC" w:rsidRDefault="00B5156B" w:rsidP="00653FAB">
            <w:pPr>
              <w:widowControl w:val="0"/>
              <w:autoSpaceDE w:val="0"/>
              <w:autoSpaceDN w:val="0"/>
              <w:adjustRightInd w:val="0"/>
              <w:spacing w:line="276" w:lineRule="auto"/>
              <w:jc w:val="both"/>
              <w:rPr>
                <w:rFonts w:cs="Times New Roman"/>
                <w:i/>
                <w:sz w:val="24"/>
                <w:szCs w:val="24"/>
              </w:rPr>
            </w:pPr>
            <w:r w:rsidRPr="008874FC">
              <w:rPr>
                <w:rFonts w:cs="Times New Roman"/>
                <w:i/>
                <w:sz w:val="24"/>
                <w:szCs w:val="24"/>
              </w:rPr>
              <w:t>2. Развитие сети автомобильных дорог общего пользования местного значения на территории городского округа Электрогорск Московской области, обеспечение нормативного состояния автомобильных дорог местного значения.</w:t>
            </w:r>
          </w:p>
          <w:p w:rsidR="00B5156B" w:rsidRDefault="00B5156B" w:rsidP="00653FAB">
            <w:pPr>
              <w:widowControl w:val="0"/>
              <w:autoSpaceDE w:val="0"/>
              <w:autoSpaceDN w:val="0"/>
              <w:adjustRightInd w:val="0"/>
              <w:spacing w:line="276" w:lineRule="auto"/>
              <w:jc w:val="both"/>
              <w:rPr>
                <w:rFonts w:cs="Times New Roman"/>
                <w:i/>
                <w:sz w:val="24"/>
                <w:szCs w:val="24"/>
              </w:rPr>
            </w:pPr>
            <w:r w:rsidRPr="008874FC">
              <w:rPr>
                <w:rFonts w:cs="Times New Roman"/>
                <w:i/>
                <w:sz w:val="24"/>
                <w:szCs w:val="24"/>
              </w:rPr>
              <w:t>3. Обеспечение эффективного исполнения полномочий уполномоченного органа муниципальной власти в сфере транспорта и дорожной инфраструктуры, и функционирования подведомственного учреждения МБУ «Дорожное хозяйство и благоустройство городского округа Электрогорск Московской области.</w:t>
            </w:r>
          </w:p>
          <w:p w:rsidR="008874FC" w:rsidRPr="008874FC" w:rsidRDefault="008874FC" w:rsidP="00653FAB">
            <w:pPr>
              <w:widowControl w:val="0"/>
              <w:autoSpaceDE w:val="0"/>
              <w:autoSpaceDN w:val="0"/>
              <w:adjustRightInd w:val="0"/>
              <w:spacing w:line="276" w:lineRule="auto"/>
              <w:jc w:val="both"/>
              <w:rPr>
                <w:rFonts w:cs="Times New Roman"/>
                <w:i/>
                <w:sz w:val="24"/>
                <w:szCs w:val="24"/>
              </w:rPr>
            </w:pPr>
          </w:p>
        </w:tc>
      </w:tr>
      <w:tr w:rsidR="00B71019" w:rsidRPr="008874FC" w:rsidTr="00714D14">
        <w:trPr>
          <w:jc w:val="center"/>
        </w:trPr>
        <w:tc>
          <w:tcPr>
            <w:tcW w:w="3856" w:type="dxa"/>
            <w:tcBorders>
              <w:top w:val="single" w:sz="4" w:space="0" w:color="auto"/>
              <w:bottom w:val="single" w:sz="4" w:space="0" w:color="auto"/>
              <w:right w:val="single" w:sz="4" w:space="0" w:color="auto"/>
            </w:tcBorders>
          </w:tcPr>
          <w:p w:rsidR="00B71019" w:rsidRPr="008874FC" w:rsidRDefault="00B71019" w:rsidP="00C20309">
            <w:pPr>
              <w:widowControl w:val="0"/>
              <w:autoSpaceDE w:val="0"/>
              <w:autoSpaceDN w:val="0"/>
              <w:adjustRightInd w:val="0"/>
              <w:rPr>
                <w:rFonts w:eastAsiaTheme="minorEastAsia" w:cs="Times New Roman"/>
                <w:sz w:val="24"/>
                <w:szCs w:val="24"/>
                <w:lang w:eastAsia="ru-RU"/>
              </w:rPr>
            </w:pPr>
            <w:r w:rsidRPr="008874FC">
              <w:rPr>
                <w:rFonts w:eastAsiaTheme="minorEastAsia" w:cs="Times New Roman"/>
                <w:sz w:val="24"/>
                <w:szCs w:val="24"/>
                <w:lang w:eastAsia="ru-RU"/>
              </w:rPr>
              <w:t>Перечень подпрограмм</w:t>
            </w:r>
          </w:p>
        </w:tc>
        <w:tc>
          <w:tcPr>
            <w:tcW w:w="11171" w:type="dxa"/>
            <w:gridSpan w:val="7"/>
            <w:tcBorders>
              <w:top w:val="single" w:sz="4" w:space="0" w:color="auto"/>
              <w:left w:val="single" w:sz="4" w:space="0" w:color="auto"/>
              <w:bottom w:val="single" w:sz="4" w:space="0" w:color="auto"/>
            </w:tcBorders>
          </w:tcPr>
          <w:p w:rsidR="00B5156B" w:rsidRPr="008874FC" w:rsidRDefault="00FD5A0B" w:rsidP="00E9546D">
            <w:pPr>
              <w:pStyle w:val="ad"/>
              <w:widowControl w:val="0"/>
              <w:numPr>
                <w:ilvl w:val="0"/>
                <w:numId w:val="1"/>
              </w:numPr>
              <w:autoSpaceDE w:val="0"/>
              <w:autoSpaceDN w:val="0"/>
              <w:adjustRightInd w:val="0"/>
              <w:spacing w:line="360" w:lineRule="auto"/>
              <w:rPr>
                <w:rFonts w:eastAsiaTheme="minorEastAsia" w:cs="Times New Roman"/>
                <w:sz w:val="24"/>
                <w:szCs w:val="24"/>
                <w:lang w:eastAsia="ru-RU"/>
              </w:rPr>
            </w:pPr>
            <w:r w:rsidRPr="008874FC">
              <w:rPr>
                <w:rFonts w:eastAsiaTheme="minorEastAsia" w:cs="Times New Roman"/>
                <w:sz w:val="24"/>
                <w:szCs w:val="24"/>
                <w:lang w:eastAsia="ru-RU"/>
              </w:rPr>
              <w:t>«</w:t>
            </w:r>
            <w:r w:rsidR="00B71019" w:rsidRPr="008874FC">
              <w:rPr>
                <w:rFonts w:eastAsiaTheme="minorEastAsia" w:cs="Times New Roman"/>
                <w:sz w:val="24"/>
                <w:szCs w:val="24"/>
                <w:lang w:eastAsia="ru-RU"/>
              </w:rPr>
              <w:t xml:space="preserve">Пассажирский транспорт общего </w:t>
            </w:r>
            <w:r w:rsidR="00B5156B" w:rsidRPr="008874FC">
              <w:rPr>
                <w:rFonts w:eastAsiaTheme="minorEastAsia" w:cs="Times New Roman"/>
                <w:sz w:val="24"/>
                <w:szCs w:val="24"/>
                <w:lang w:eastAsia="ru-RU"/>
              </w:rPr>
              <w:t>пользования»</w:t>
            </w:r>
          </w:p>
          <w:p w:rsidR="00653FAB" w:rsidRPr="008874FC" w:rsidRDefault="00B5156B" w:rsidP="00653FAB">
            <w:pPr>
              <w:pStyle w:val="ad"/>
              <w:widowControl w:val="0"/>
              <w:numPr>
                <w:ilvl w:val="0"/>
                <w:numId w:val="1"/>
              </w:numPr>
              <w:autoSpaceDE w:val="0"/>
              <w:autoSpaceDN w:val="0"/>
              <w:adjustRightInd w:val="0"/>
              <w:spacing w:line="360" w:lineRule="auto"/>
              <w:rPr>
                <w:rFonts w:eastAsiaTheme="minorEastAsia" w:cs="Times New Roman"/>
                <w:sz w:val="24"/>
                <w:szCs w:val="24"/>
                <w:lang w:eastAsia="ru-RU"/>
              </w:rPr>
            </w:pPr>
            <w:r w:rsidRPr="008874FC">
              <w:rPr>
                <w:rFonts w:eastAsiaTheme="minorEastAsia" w:cs="Times New Roman"/>
                <w:sz w:val="24"/>
                <w:szCs w:val="24"/>
                <w:lang w:eastAsia="ru-RU"/>
              </w:rPr>
              <w:t>«Дороги Подмосковья»</w:t>
            </w:r>
            <w:r w:rsidR="00FD5A0B" w:rsidRPr="008874FC">
              <w:rPr>
                <w:rFonts w:eastAsiaTheme="minorEastAsia" w:cs="Times New Roman"/>
                <w:sz w:val="24"/>
                <w:szCs w:val="24"/>
                <w:lang w:eastAsia="ru-RU"/>
              </w:rPr>
              <w:t xml:space="preserve"> </w:t>
            </w:r>
          </w:p>
          <w:p w:rsidR="00653FAB" w:rsidRPr="008874FC" w:rsidRDefault="00653FAB" w:rsidP="00653FAB">
            <w:pPr>
              <w:pStyle w:val="ad"/>
              <w:widowControl w:val="0"/>
              <w:autoSpaceDE w:val="0"/>
              <w:autoSpaceDN w:val="0"/>
              <w:adjustRightInd w:val="0"/>
              <w:spacing w:line="360" w:lineRule="auto"/>
              <w:rPr>
                <w:rFonts w:eastAsiaTheme="minorEastAsia" w:cs="Times New Roman"/>
                <w:sz w:val="24"/>
                <w:szCs w:val="24"/>
                <w:lang w:eastAsia="ru-RU"/>
              </w:rPr>
            </w:pPr>
          </w:p>
        </w:tc>
      </w:tr>
      <w:tr w:rsidR="00B71019" w:rsidRPr="008874FC" w:rsidTr="00714D14">
        <w:trPr>
          <w:jc w:val="center"/>
        </w:trPr>
        <w:tc>
          <w:tcPr>
            <w:tcW w:w="3856" w:type="dxa"/>
            <w:vMerge w:val="restart"/>
            <w:tcBorders>
              <w:top w:val="single" w:sz="4" w:space="0" w:color="auto"/>
              <w:bottom w:val="nil"/>
              <w:right w:val="nil"/>
            </w:tcBorders>
          </w:tcPr>
          <w:p w:rsidR="00B71019" w:rsidRPr="008874FC" w:rsidRDefault="00B71019" w:rsidP="00C20309">
            <w:pPr>
              <w:widowControl w:val="0"/>
              <w:autoSpaceDE w:val="0"/>
              <w:autoSpaceDN w:val="0"/>
              <w:adjustRightInd w:val="0"/>
              <w:rPr>
                <w:rFonts w:eastAsiaTheme="minorEastAsia" w:cs="Times New Roman"/>
                <w:b/>
                <w:sz w:val="24"/>
                <w:szCs w:val="24"/>
                <w:lang w:eastAsia="ru-RU"/>
              </w:rPr>
            </w:pPr>
            <w:bookmarkStart w:id="0" w:name="sub_101"/>
            <w:r w:rsidRPr="008874FC">
              <w:rPr>
                <w:rFonts w:eastAsiaTheme="minorEastAsia" w:cs="Times New Roman"/>
                <w:b/>
                <w:sz w:val="24"/>
                <w:szCs w:val="24"/>
                <w:lang w:eastAsia="ru-RU"/>
              </w:rPr>
              <w:lastRenderedPageBreak/>
              <w:t xml:space="preserve">Источники финансирования муниципальной программы, </w:t>
            </w:r>
          </w:p>
          <w:p w:rsidR="00B71019" w:rsidRPr="008874FC" w:rsidRDefault="00B71019" w:rsidP="00C20309">
            <w:pPr>
              <w:widowControl w:val="0"/>
              <w:autoSpaceDE w:val="0"/>
              <w:autoSpaceDN w:val="0"/>
              <w:adjustRightInd w:val="0"/>
              <w:rPr>
                <w:rFonts w:eastAsiaTheme="minorEastAsia" w:cs="Times New Roman"/>
                <w:sz w:val="24"/>
                <w:szCs w:val="24"/>
                <w:lang w:eastAsia="ru-RU"/>
              </w:rPr>
            </w:pPr>
            <w:r w:rsidRPr="008874FC">
              <w:rPr>
                <w:rFonts w:eastAsiaTheme="minorEastAsia" w:cs="Times New Roman"/>
                <w:sz w:val="24"/>
                <w:szCs w:val="24"/>
                <w:lang w:eastAsia="ru-RU"/>
              </w:rPr>
              <w:t>в том числе по годам:</w:t>
            </w:r>
            <w:bookmarkEnd w:id="0"/>
          </w:p>
        </w:tc>
        <w:tc>
          <w:tcPr>
            <w:tcW w:w="11171" w:type="dxa"/>
            <w:gridSpan w:val="7"/>
            <w:tcBorders>
              <w:top w:val="single" w:sz="4" w:space="0" w:color="auto"/>
              <w:left w:val="single" w:sz="4" w:space="0" w:color="auto"/>
              <w:bottom w:val="nil"/>
            </w:tcBorders>
          </w:tcPr>
          <w:p w:rsidR="00B71019" w:rsidRPr="008874FC" w:rsidRDefault="00B71019" w:rsidP="00C20309">
            <w:pPr>
              <w:widowControl w:val="0"/>
              <w:autoSpaceDE w:val="0"/>
              <w:autoSpaceDN w:val="0"/>
              <w:adjustRightInd w:val="0"/>
              <w:jc w:val="center"/>
              <w:rPr>
                <w:rFonts w:eastAsiaTheme="minorEastAsia" w:cs="Times New Roman"/>
                <w:sz w:val="24"/>
                <w:szCs w:val="24"/>
                <w:lang w:eastAsia="ru-RU"/>
              </w:rPr>
            </w:pPr>
            <w:r w:rsidRPr="008874FC">
              <w:rPr>
                <w:rFonts w:eastAsiaTheme="minorEastAsia" w:cs="Times New Roman"/>
                <w:sz w:val="24"/>
                <w:szCs w:val="24"/>
                <w:lang w:eastAsia="ru-RU"/>
              </w:rPr>
              <w:t>Расходы (тыс. рублей)</w:t>
            </w:r>
          </w:p>
        </w:tc>
      </w:tr>
      <w:tr w:rsidR="00653FAB" w:rsidRPr="008874FC" w:rsidTr="00714D14">
        <w:trPr>
          <w:jc w:val="center"/>
        </w:trPr>
        <w:tc>
          <w:tcPr>
            <w:tcW w:w="3856" w:type="dxa"/>
            <w:vMerge/>
            <w:tcBorders>
              <w:top w:val="nil"/>
              <w:bottom w:val="nil"/>
              <w:right w:val="nil"/>
            </w:tcBorders>
          </w:tcPr>
          <w:p w:rsidR="00653FAB" w:rsidRPr="008874FC" w:rsidRDefault="00653FAB" w:rsidP="00C20309">
            <w:pPr>
              <w:widowControl w:val="0"/>
              <w:autoSpaceDE w:val="0"/>
              <w:autoSpaceDN w:val="0"/>
              <w:adjustRightInd w:val="0"/>
              <w:jc w:val="both"/>
              <w:rPr>
                <w:rFonts w:eastAsiaTheme="minorEastAsia" w:cs="Times New Roman"/>
                <w:sz w:val="24"/>
                <w:szCs w:val="24"/>
                <w:lang w:eastAsia="ru-RU"/>
              </w:rPr>
            </w:pPr>
          </w:p>
        </w:tc>
        <w:tc>
          <w:tcPr>
            <w:tcW w:w="1843" w:type="dxa"/>
            <w:tcBorders>
              <w:top w:val="single" w:sz="4" w:space="0" w:color="auto"/>
              <w:left w:val="single" w:sz="4" w:space="0" w:color="auto"/>
              <w:bottom w:val="nil"/>
              <w:right w:val="nil"/>
            </w:tcBorders>
          </w:tcPr>
          <w:p w:rsidR="00653FAB" w:rsidRPr="008874FC" w:rsidRDefault="00653FAB" w:rsidP="00C20309">
            <w:pPr>
              <w:widowControl w:val="0"/>
              <w:autoSpaceDE w:val="0"/>
              <w:autoSpaceDN w:val="0"/>
              <w:adjustRightInd w:val="0"/>
              <w:jc w:val="center"/>
              <w:rPr>
                <w:rFonts w:eastAsiaTheme="minorEastAsia" w:cs="Times New Roman"/>
                <w:sz w:val="24"/>
                <w:szCs w:val="24"/>
                <w:lang w:eastAsia="ru-RU"/>
              </w:rPr>
            </w:pPr>
            <w:r w:rsidRPr="008874FC">
              <w:rPr>
                <w:rFonts w:eastAsiaTheme="minorEastAsia" w:cs="Times New Roman"/>
                <w:sz w:val="24"/>
                <w:szCs w:val="24"/>
                <w:lang w:eastAsia="ru-RU"/>
              </w:rPr>
              <w:t>Всего</w:t>
            </w:r>
          </w:p>
        </w:tc>
        <w:tc>
          <w:tcPr>
            <w:tcW w:w="1701" w:type="dxa"/>
            <w:tcBorders>
              <w:top w:val="single" w:sz="4" w:space="0" w:color="auto"/>
              <w:left w:val="single" w:sz="4" w:space="0" w:color="auto"/>
              <w:bottom w:val="nil"/>
              <w:right w:val="nil"/>
            </w:tcBorders>
          </w:tcPr>
          <w:p w:rsidR="00653FAB" w:rsidRPr="008874FC" w:rsidRDefault="00653FAB" w:rsidP="00C20309">
            <w:pPr>
              <w:widowControl w:val="0"/>
              <w:autoSpaceDE w:val="0"/>
              <w:autoSpaceDN w:val="0"/>
              <w:adjustRightInd w:val="0"/>
              <w:jc w:val="center"/>
              <w:rPr>
                <w:rFonts w:eastAsiaTheme="minorEastAsia" w:cs="Times New Roman"/>
                <w:sz w:val="24"/>
                <w:szCs w:val="24"/>
                <w:lang w:eastAsia="ru-RU"/>
              </w:rPr>
            </w:pPr>
            <w:r w:rsidRPr="008874FC">
              <w:rPr>
                <w:rFonts w:eastAsiaTheme="minorEastAsia" w:cs="Times New Roman"/>
                <w:sz w:val="24"/>
                <w:szCs w:val="24"/>
                <w:lang w:eastAsia="ru-RU"/>
              </w:rPr>
              <w:t>2020 год</w:t>
            </w:r>
          </w:p>
        </w:tc>
        <w:tc>
          <w:tcPr>
            <w:tcW w:w="1559" w:type="dxa"/>
            <w:tcBorders>
              <w:top w:val="single" w:sz="4" w:space="0" w:color="auto"/>
              <w:left w:val="single" w:sz="4" w:space="0" w:color="auto"/>
              <w:bottom w:val="nil"/>
              <w:right w:val="nil"/>
            </w:tcBorders>
          </w:tcPr>
          <w:p w:rsidR="00653FAB" w:rsidRPr="008874FC" w:rsidRDefault="00653FAB" w:rsidP="00C20309">
            <w:pPr>
              <w:widowControl w:val="0"/>
              <w:autoSpaceDE w:val="0"/>
              <w:autoSpaceDN w:val="0"/>
              <w:adjustRightInd w:val="0"/>
              <w:jc w:val="center"/>
              <w:rPr>
                <w:rFonts w:eastAsiaTheme="minorEastAsia" w:cs="Times New Roman"/>
                <w:sz w:val="24"/>
                <w:szCs w:val="24"/>
                <w:lang w:eastAsia="ru-RU"/>
              </w:rPr>
            </w:pPr>
            <w:r w:rsidRPr="008874FC">
              <w:rPr>
                <w:rFonts w:eastAsiaTheme="minorEastAsia" w:cs="Times New Roman"/>
                <w:sz w:val="24"/>
                <w:szCs w:val="24"/>
                <w:lang w:eastAsia="ru-RU"/>
              </w:rPr>
              <w:t>2021 год</w:t>
            </w:r>
          </w:p>
        </w:tc>
        <w:tc>
          <w:tcPr>
            <w:tcW w:w="1560" w:type="dxa"/>
            <w:tcBorders>
              <w:top w:val="single" w:sz="4" w:space="0" w:color="auto"/>
              <w:left w:val="single" w:sz="4" w:space="0" w:color="auto"/>
              <w:bottom w:val="nil"/>
              <w:right w:val="nil"/>
            </w:tcBorders>
          </w:tcPr>
          <w:p w:rsidR="00653FAB" w:rsidRPr="008874FC" w:rsidRDefault="00653FAB" w:rsidP="00C20309">
            <w:pPr>
              <w:widowControl w:val="0"/>
              <w:autoSpaceDE w:val="0"/>
              <w:autoSpaceDN w:val="0"/>
              <w:adjustRightInd w:val="0"/>
              <w:jc w:val="center"/>
              <w:rPr>
                <w:rFonts w:eastAsiaTheme="minorEastAsia" w:cs="Times New Roman"/>
                <w:sz w:val="24"/>
                <w:szCs w:val="24"/>
                <w:lang w:eastAsia="ru-RU"/>
              </w:rPr>
            </w:pPr>
            <w:r w:rsidRPr="008874FC">
              <w:rPr>
                <w:rFonts w:eastAsiaTheme="minorEastAsia" w:cs="Times New Roman"/>
                <w:sz w:val="24"/>
                <w:szCs w:val="24"/>
                <w:lang w:eastAsia="ru-RU"/>
              </w:rPr>
              <w:t>2022 год</w:t>
            </w:r>
          </w:p>
        </w:tc>
        <w:tc>
          <w:tcPr>
            <w:tcW w:w="1417" w:type="dxa"/>
            <w:tcBorders>
              <w:top w:val="single" w:sz="4" w:space="0" w:color="auto"/>
              <w:left w:val="single" w:sz="4" w:space="0" w:color="auto"/>
              <w:bottom w:val="nil"/>
              <w:right w:val="nil"/>
            </w:tcBorders>
          </w:tcPr>
          <w:p w:rsidR="00653FAB" w:rsidRPr="008874FC" w:rsidRDefault="00653FAB" w:rsidP="00C20309">
            <w:pPr>
              <w:widowControl w:val="0"/>
              <w:autoSpaceDE w:val="0"/>
              <w:autoSpaceDN w:val="0"/>
              <w:adjustRightInd w:val="0"/>
              <w:jc w:val="center"/>
              <w:rPr>
                <w:rFonts w:eastAsiaTheme="minorEastAsia" w:cs="Times New Roman"/>
                <w:sz w:val="24"/>
                <w:szCs w:val="24"/>
                <w:lang w:eastAsia="ru-RU"/>
              </w:rPr>
            </w:pPr>
            <w:r w:rsidRPr="008874FC">
              <w:rPr>
                <w:rFonts w:eastAsiaTheme="minorEastAsia" w:cs="Times New Roman"/>
                <w:sz w:val="24"/>
                <w:szCs w:val="24"/>
                <w:lang w:eastAsia="ru-RU"/>
              </w:rPr>
              <w:t>2023 год</w:t>
            </w:r>
          </w:p>
        </w:tc>
        <w:tc>
          <w:tcPr>
            <w:tcW w:w="1559" w:type="dxa"/>
            <w:tcBorders>
              <w:top w:val="single" w:sz="4" w:space="0" w:color="auto"/>
              <w:left w:val="single" w:sz="4" w:space="0" w:color="auto"/>
              <w:bottom w:val="nil"/>
            </w:tcBorders>
          </w:tcPr>
          <w:p w:rsidR="00653FAB" w:rsidRPr="008874FC" w:rsidRDefault="00653FAB" w:rsidP="00B71019">
            <w:pPr>
              <w:widowControl w:val="0"/>
              <w:autoSpaceDE w:val="0"/>
              <w:autoSpaceDN w:val="0"/>
              <w:adjustRightInd w:val="0"/>
              <w:jc w:val="center"/>
              <w:rPr>
                <w:rFonts w:eastAsiaTheme="minorEastAsia" w:cs="Times New Roman"/>
                <w:sz w:val="24"/>
                <w:szCs w:val="24"/>
                <w:lang w:eastAsia="ru-RU"/>
              </w:rPr>
            </w:pPr>
            <w:r w:rsidRPr="008874FC">
              <w:rPr>
                <w:rFonts w:eastAsiaTheme="minorEastAsia" w:cs="Times New Roman"/>
                <w:sz w:val="24"/>
                <w:szCs w:val="24"/>
                <w:lang w:eastAsia="ru-RU"/>
              </w:rPr>
              <w:t>2024 год</w:t>
            </w:r>
          </w:p>
        </w:tc>
        <w:tc>
          <w:tcPr>
            <w:tcW w:w="1532" w:type="dxa"/>
            <w:tcBorders>
              <w:top w:val="single" w:sz="4" w:space="0" w:color="auto"/>
              <w:left w:val="single" w:sz="4" w:space="0" w:color="auto"/>
              <w:bottom w:val="nil"/>
            </w:tcBorders>
          </w:tcPr>
          <w:p w:rsidR="00653FAB" w:rsidRPr="008874FC" w:rsidRDefault="00653FAB" w:rsidP="00BB2D64">
            <w:pPr>
              <w:widowControl w:val="0"/>
              <w:autoSpaceDE w:val="0"/>
              <w:autoSpaceDN w:val="0"/>
              <w:adjustRightInd w:val="0"/>
              <w:jc w:val="center"/>
              <w:rPr>
                <w:rFonts w:eastAsiaTheme="minorEastAsia" w:cs="Times New Roman"/>
                <w:sz w:val="24"/>
                <w:szCs w:val="24"/>
                <w:lang w:eastAsia="ru-RU"/>
              </w:rPr>
            </w:pPr>
            <w:r w:rsidRPr="008874FC">
              <w:rPr>
                <w:rFonts w:eastAsiaTheme="minorEastAsia" w:cs="Times New Roman"/>
                <w:sz w:val="24"/>
                <w:szCs w:val="24"/>
                <w:lang w:val="en-US" w:eastAsia="ru-RU"/>
              </w:rPr>
              <w:t xml:space="preserve">2025 </w:t>
            </w:r>
            <w:r w:rsidRPr="008874FC">
              <w:rPr>
                <w:rFonts w:eastAsiaTheme="minorEastAsia" w:cs="Times New Roman"/>
                <w:sz w:val="24"/>
                <w:szCs w:val="24"/>
                <w:lang w:eastAsia="ru-RU"/>
              </w:rPr>
              <w:t>год</w:t>
            </w:r>
          </w:p>
        </w:tc>
      </w:tr>
      <w:tr w:rsidR="00FE5F1E" w:rsidRPr="008874FC" w:rsidTr="00714D14">
        <w:trPr>
          <w:jc w:val="center"/>
        </w:trPr>
        <w:tc>
          <w:tcPr>
            <w:tcW w:w="3856" w:type="dxa"/>
            <w:tcBorders>
              <w:top w:val="single" w:sz="4" w:space="0" w:color="auto"/>
              <w:bottom w:val="nil"/>
              <w:right w:val="nil"/>
            </w:tcBorders>
          </w:tcPr>
          <w:p w:rsidR="00FE5F1E" w:rsidRPr="008874FC" w:rsidRDefault="00FE5F1E" w:rsidP="00FE5F1E">
            <w:pPr>
              <w:widowControl w:val="0"/>
              <w:autoSpaceDE w:val="0"/>
              <w:autoSpaceDN w:val="0"/>
              <w:adjustRightInd w:val="0"/>
              <w:rPr>
                <w:rFonts w:eastAsiaTheme="minorEastAsia" w:cs="Times New Roman"/>
                <w:i/>
                <w:sz w:val="24"/>
                <w:szCs w:val="24"/>
                <w:lang w:eastAsia="ru-RU"/>
              </w:rPr>
            </w:pPr>
            <w:r w:rsidRPr="008874FC">
              <w:rPr>
                <w:rFonts w:eastAsiaTheme="minorEastAsia" w:cs="Times New Roman"/>
                <w:i/>
                <w:sz w:val="24"/>
                <w:szCs w:val="24"/>
                <w:lang w:eastAsia="ru-RU"/>
              </w:rPr>
              <w:t>Средства бюджета Московской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E5F1E" w:rsidRPr="00714D14" w:rsidRDefault="00714D14" w:rsidP="00714D14">
            <w:pPr>
              <w:rPr>
                <w:rFonts w:cs="Times New Roman"/>
                <w:color w:val="000000"/>
                <w:sz w:val="24"/>
                <w:szCs w:val="24"/>
              </w:rPr>
            </w:pPr>
            <w:r w:rsidRPr="00714D14">
              <w:rPr>
                <w:rFonts w:cs="Times New Roman"/>
                <w:color w:val="000000"/>
                <w:sz w:val="24"/>
                <w:szCs w:val="24"/>
              </w:rPr>
              <w:t>113349,269</w:t>
            </w:r>
          </w:p>
        </w:tc>
        <w:tc>
          <w:tcPr>
            <w:tcW w:w="1701" w:type="dxa"/>
            <w:tcBorders>
              <w:top w:val="single" w:sz="4" w:space="0" w:color="auto"/>
              <w:left w:val="nil"/>
              <w:bottom w:val="single" w:sz="4" w:space="0" w:color="auto"/>
              <w:right w:val="single" w:sz="4" w:space="0" w:color="auto"/>
            </w:tcBorders>
            <w:shd w:val="clear" w:color="auto" w:fill="auto"/>
            <w:vAlign w:val="center"/>
          </w:tcPr>
          <w:p w:rsidR="00FE5F1E" w:rsidRPr="00714D14" w:rsidRDefault="00FE5F1E" w:rsidP="00FE5F1E">
            <w:pPr>
              <w:rPr>
                <w:rFonts w:cs="Times New Roman"/>
                <w:color w:val="000000"/>
                <w:sz w:val="24"/>
                <w:szCs w:val="24"/>
              </w:rPr>
            </w:pPr>
            <w:r w:rsidRPr="00714D14">
              <w:rPr>
                <w:rFonts w:cs="Times New Roman"/>
                <w:color w:val="000000"/>
                <w:sz w:val="24"/>
                <w:szCs w:val="24"/>
              </w:rPr>
              <w:t>11005,0</w:t>
            </w:r>
          </w:p>
        </w:tc>
        <w:tc>
          <w:tcPr>
            <w:tcW w:w="1559" w:type="dxa"/>
            <w:tcBorders>
              <w:top w:val="single" w:sz="4" w:space="0" w:color="auto"/>
              <w:left w:val="nil"/>
              <w:bottom w:val="single" w:sz="4" w:space="0" w:color="auto"/>
              <w:right w:val="single" w:sz="4" w:space="0" w:color="auto"/>
            </w:tcBorders>
            <w:shd w:val="clear" w:color="auto" w:fill="auto"/>
            <w:vAlign w:val="center"/>
          </w:tcPr>
          <w:p w:rsidR="00FE5F1E" w:rsidRPr="00714D14" w:rsidRDefault="009D33BD" w:rsidP="00FE5F1E">
            <w:pPr>
              <w:rPr>
                <w:sz w:val="24"/>
                <w:szCs w:val="24"/>
              </w:rPr>
            </w:pPr>
            <w:r w:rsidRPr="00714D14">
              <w:rPr>
                <w:sz w:val="24"/>
                <w:szCs w:val="24"/>
              </w:rPr>
              <w:t>75116,269</w:t>
            </w:r>
          </w:p>
        </w:tc>
        <w:tc>
          <w:tcPr>
            <w:tcW w:w="1560" w:type="dxa"/>
            <w:tcBorders>
              <w:top w:val="single" w:sz="4" w:space="0" w:color="auto"/>
              <w:left w:val="nil"/>
              <w:bottom w:val="single" w:sz="4" w:space="0" w:color="auto"/>
              <w:right w:val="single" w:sz="4" w:space="0" w:color="auto"/>
            </w:tcBorders>
            <w:shd w:val="clear" w:color="auto" w:fill="auto"/>
            <w:vAlign w:val="center"/>
          </w:tcPr>
          <w:p w:rsidR="00FE5F1E" w:rsidRPr="00714D14" w:rsidRDefault="00FE5F1E" w:rsidP="00FE5F1E">
            <w:pPr>
              <w:divId w:val="31271560"/>
              <w:rPr>
                <w:sz w:val="24"/>
                <w:szCs w:val="24"/>
              </w:rPr>
            </w:pPr>
            <w:r w:rsidRPr="00714D14">
              <w:rPr>
                <w:sz w:val="24"/>
                <w:szCs w:val="24"/>
              </w:rPr>
              <w:t>13 657,00</w:t>
            </w:r>
          </w:p>
        </w:tc>
        <w:tc>
          <w:tcPr>
            <w:tcW w:w="1417" w:type="dxa"/>
            <w:tcBorders>
              <w:top w:val="single" w:sz="4" w:space="0" w:color="auto"/>
              <w:left w:val="nil"/>
              <w:bottom w:val="single" w:sz="4" w:space="0" w:color="auto"/>
              <w:right w:val="single" w:sz="4" w:space="0" w:color="auto"/>
            </w:tcBorders>
            <w:shd w:val="clear" w:color="auto" w:fill="auto"/>
            <w:vAlign w:val="center"/>
          </w:tcPr>
          <w:p w:rsidR="00FE5F1E" w:rsidRPr="00714D14" w:rsidRDefault="00FE5F1E" w:rsidP="00FE5F1E">
            <w:pPr>
              <w:divId w:val="960187394"/>
              <w:rPr>
                <w:sz w:val="24"/>
                <w:szCs w:val="24"/>
              </w:rPr>
            </w:pPr>
            <w:r w:rsidRPr="00714D14">
              <w:rPr>
                <w:sz w:val="24"/>
                <w:szCs w:val="24"/>
              </w:rPr>
              <w:t>8 520,00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E5F1E" w:rsidRPr="00714D14" w:rsidRDefault="00FE5F1E" w:rsidP="00FE5F1E">
            <w:pPr>
              <w:divId w:val="427772319"/>
              <w:rPr>
                <w:sz w:val="24"/>
                <w:szCs w:val="24"/>
              </w:rPr>
            </w:pPr>
            <w:r w:rsidRPr="00714D14">
              <w:rPr>
                <w:sz w:val="24"/>
                <w:szCs w:val="24"/>
              </w:rPr>
              <w:t>5 051,00</w:t>
            </w:r>
          </w:p>
        </w:tc>
        <w:tc>
          <w:tcPr>
            <w:tcW w:w="1532" w:type="dxa"/>
            <w:tcBorders>
              <w:top w:val="single" w:sz="4" w:space="0" w:color="auto"/>
              <w:left w:val="nil"/>
              <w:bottom w:val="single" w:sz="4" w:space="0" w:color="auto"/>
              <w:right w:val="single" w:sz="4" w:space="0" w:color="auto"/>
            </w:tcBorders>
            <w:vAlign w:val="center"/>
          </w:tcPr>
          <w:p w:rsidR="00FE5F1E" w:rsidRPr="00714D14" w:rsidRDefault="00FE5F1E" w:rsidP="00FE5F1E">
            <w:pPr>
              <w:rPr>
                <w:sz w:val="24"/>
                <w:szCs w:val="24"/>
              </w:rPr>
            </w:pPr>
            <w:r w:rsidRPr="00714D14">
              <w:rPr>
                <w:rFonts w:cs="Times New Roman"/>
                <w:color w:val="000000"/>
                <w:sz w:val="24"/>
                <w:szCs w:val="24"/>
              </w:rPr>
              <w:t>0,0</w:t>
            </w:r>
          </w:p>
        </w:tc>
      </w:tr>
      <w:tr w:rsidR="00653FAB" w:rsidRPr="008874FC" w:rsidTr="00714D14">
        <w:trPr>
          <w:jc w:val="center"/>
        </w:trPr>
        <w:tc>
          <w:tcPr>
            <w:tcW w:w="3856" w:type="dxa"/>
            <w:tcBorders>
              <w:top w:val="single" w:sz="4" w:space="0" w:color="auto"/>
              <w:bottom w:val="nil"/>
              <w:right w:val="nil"/>
            </w:tcBorders>
          </w:tcPr>
          <w:p w:rsidR="00653FAB" w:rsidRPr="008874FC" w:rsidRDefault="00653FAB" w:rsidP="00BB2D64">
            <w:pPr>
              <w:widowControl w:val="0"/>
              <w:autoSpaceDE w:val="0"/>
              <w:autoSpaceDN w:val="0"/>
              <w:adjustRightInd w:val="0"/>
              <w:rPr>
                <w:rFonts w:eastAsiaTheme="minorEastAsia" w:cs="Times New Roman"/>
                <w:i/>
                <w:sz w:val="24"/>
                <w:szCs w:val="24"/>
                <w:lang w:eastAsia="ru-RU"/>
              </w:rPr>
            </w:pPr>
            <w:r w:rsidRPr="008874FC">
              <w:rPr>
                <w:rFonts w:eastAsiaTheme="minorEastAsia" w:cs="Times New Roman"/>
                <w:i/>
                <w:sz w:val="24"/>
                <w:szCs w:val="24"/>
                <w:lang w:eastAsia="ru-RU"/>
              </w:rPr>
              <w:t>Средства федерального бюджета</w:t>
            </w:r>
          </w:p>
        </w:tc>
        <w:tc>
          <w:tcPr>
            <w:tcW w:w="1843" w:type="dxa"/>
            <w:tcBorders>
              <w:top w:val="nil"/>
              <w:left w:val="single" w:sz="4" w:space="0" w:color="auto"/>
              <w:bottom w:val="single" w:sz="4" w:space="0" w:color="auto"/>
              <w:right w:val="single" w:sz="4" w:space="0" w:color="auto"/>
            </w:tcBorders>
            <w:shd w:val="clear" w:color="auto" w:fill="auto"/>
            <w:vAlign w:val="center"/>
          </w:tcPr>
          <w:p w:rsidR="00653FAB" w:rsidRPr="00714D14" w:rsidRDefault="00653FAB" w:rsidP="00653FAB">
            <w:pPr>
              <w:rPr>
                <w:rFonts w:cs="Times New Roman"/>
                <w:color w:val="000000"/>
                <w:sz w:val="24"/>
                <w:szCs w:val="24"/>
              </w:rPr>
            </w:pPr>
            <w:r w:rsidRPr="00714D14">
              <w:rPr>
                <w:rFonts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653FAB" w:rsidRPr="00714D14" w:rsidRDefault="00653FAB" w:rsidP="00653FAB">
            <w:pPr>
              <w:rPr>
                <w:rFonts w:cs="Times New Roman"/>
                <w:color w:val="000000"/>
                <w:sz w:val="24"/>
                <w:szCs w:val="24"/>
              </w:rPr>
            </w:pPr>
            <w:r w:rsidRPr="00714D14">
              <w:rPr>
                <w:rFonts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vAlign w:val="center"/>
          </w:tcPr>
          <w:p w:rsidR="00653FAB" w:rsidRPr="00714D14" w:rsidRDefault="00653FAB" w:rsidP="00653FAB">
            <w:pPr>
              <w:rPr>
                <w:sz w:val="24"/>
                <w:szCs w:val="24"/>
              </w:rPr>
            </w:pPr>
            <w:r w:rsidRPr="00714D14">
              <w:rPr>
                <w:rFonts w:cs="Times New Roman"/>
                <w:color w:val="000000"/>
                <w:sz w:val="24"/>
                <w:szCs w:val="24"/>
              </w:rPr>
              <w:t>0,0</w:t>
            </w:r>
          </w:p>
        </w:tc>
        <w:tc>
          <w:tcPr>
            <w:tcW w:w="1560" w:type="dxa"/>
            <w:tcBorders>
              <w:top w:val="nil"/>
              <w:left w:val="nil"/>
              <w:bottom w:val="single" w:sz="4" w:space="0" w:color="auto"/>
              <w:right w:val="single" w:sz="4" w:space="0" w:color="auto"/>
            </w:tcBorders>
            <w:shd w:val="clear" w:color="auto" w:fill="auto"/>
            <w:vAlign w:val="center"/>
          </w:tcPr>
          <w:p w:rsidR="00653FAB" w:rsidRPr="00714D14" w:rsidRDefault="00653FAB" w:rsidP="00653FAB">
            <w:pPr>
              <w:rPr>
                <w:sz w:val="24"/>
                <w:szCs w:val="24"/>
              </w:rPr>
            </w:pPr>
            <w:r w:rsidRPr="00714D14">
              <w:rPr>
                <w:rFonts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vAlign w:val="center"/>
          </w:tcPr>
          <w:p w:rsidR="00653FAB" w:rsidRPr="00714D14" w:rsidRDefault="00653FAB" w:rsidP="00653FAB">
            <w:pPr>
              <w:rPr>
                <w:sz w:val="24"/>
                <w:szCs w:val="24"/>
              </w:rPr>
            </w:pPr>
            <w:r w:rsidRPr="00714D14">
              <w:rPr>
                <w:rFonts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vAlign w:val="center"/>
          </w:tcPr>
          <w:p w:rsidR="00653FAB" w:rsidRPr="00714D14" w:rsidRDefault="00653FAB" w:rsidP="00653FAB">
            <w:pPr>
              <w:rPr>
                <w:sz w:val="24"/>
                <w:szCs w:val="24"/>
              </w:rPr>
            </w:pPr>
            <w:r w:rsidRPr="00714D14">
              <w:rPr>
                <w:rFonts w:cs="Times New Roman"/>
                <w:color w:val="000000"/>
                <w:sz w:val="24"/>
                <w:szCs w:val="24"/>
              </w:rPr>
              <w:t>0,0</w:t>
            </w:r>
          </w:p>
        </w:tc>
        <w:tc>
          <w:tcPr>
            <w:tcW w:w="1532" w:type="dxa"/>
            <w:tcBorders>
              <w:top w:val="nil"/>
              <w:left w:val="nil"/>
              <w:bottom w:val="single" w:sz="4" w:space="0" w:color="auto"/>
              <w:right w:val="single" w:sz="4" w:space="0" w:color="auto"/>
            </w:tcBorders>
            <w:vAlign w:val="center"/>
          </w:tcPr>
          <w:p w:rsidR="00653FAB" w:rsidRPr="00714D14" w:rsidRDefault="00653FAB" w:rsidP="00653FAB">
            <w:pPr>
              <w:rPr>
                <w:sz w:val="24"/>
                <w:szCs w:val="24"/>
              </w:rPr>
            </w:pPr>
            <w:r w:rsidRPr="00714D14">
              <w:rPr>
                <w:rFonts w:cs="Times New Roman"/>
                <w:color w:val="000000"/>
                <w:sz w:val="24"/>
                <w:szCs w:val="24"/>
              </w:rPr>
              <w:t>0,0</w:t>
            </w:r>
          </w:p>
        </w:tc>
      </w:tr>
      <w:tr w:rsidR="00FE5F1E" w:rsidRPr="008874FC" w:rsidTr="00714D14">
        <w:trPr>
          <w:jc w:val="center"/>
        </w:trPr>
        <w:tc>
          <w:tcPr>
            <w:tcW w:w="3856" w:type="dxa"/>
            <w:tcBorders>
              <w:top w:val="single" w:sz="4" w:space="0" w:color="auto"/>
              <w:bottom w:val="nil"/>
              <w:right w:val="nil"/>
            </w:tcBorders>
          </w:tcPr>
          <w:p w:rsidR="00FE5F1E" w:rsidRPr="008874FC" w:rsidRDefault="00FE5F1E" w:rsidP="00FE5F1E">
            <w:pPr>
              <w:widowControl w:val="0"/>
              <w:autoSpaceDE w:val="0"/>
              <w:autoSpaceDN w:val="0"/>
              <w:adjustRightInd w:val="0"/>
              <w:rPr>
                <w:rFonts w:eastAsiaTheme="minorEastAsia" w:cs="Times New Roman"/>
                <w:i/>
                <w:sz w:val="24"/>
                <w:szCs w:val="24"/>
                <w:lang w:eastAsia="ru-RU"/>
              </w:rPr>
            </w:pPr>
            <w:r w:rsidRPr="008874FC">
              <w:rPr>
                <w:rFonts w:eastAsiaTheme="minorEastAsia" w:cs="Times New Roman"/>
                <w:i/>
                <w:sz w:val="24"/>
                <w:szCs w:val="24"/>
                <w:lang w:eastAsia="ru-RU"/>
              </w:rPr>
              <w:t xml:space="preserve">Средства бюджета городского округа </w:t>
            </w:r>
          </w:p>
        </w:tc>
        <w:tc>
          <w:tcPr>
            <w:tcW w:w="1843" w:type="dxa"/>
            <w:tcBorders>
              <w:top w:val="nil"/>
              <w:left w:val="single" w:sz="4" w:space="0" w:color="auto"/>
              <w:bottom w:val="single" w:sz="4" w:space="0" w:color="auto"/>
              <w:right w:val="single" w:sz="4" w:space="0" w:color="auto"/>
            </w:tcBorders>
            <w:shd w:val="clear" w:color="auto" w:fill="auto"/>
            <w:vAlign w:val="center"/>
          </w:tcPr>
          <w:p w:rsidR="00FE5F1E" w:rsidRPr="00714D14" w:rsidRDefault="00714D14" w:rsidP="00FE5F1E">
            <w:pPr>
              <w:rPr>
                <w:rFonts w:cs="Times New Roman"/>
                <w:color w:val="000000"/>
                <w:sz w:val="24"/>
                <w:szCs w:val="24"/>
              </w:rPr>
            </w:pPr>
            <w:r w:rsidRPr="00714D14">
              <w:rPr>
                <w:rFonts w:cs="Times New Roman"/>
                <w:color w:val="000000"/>
                <w:sz w:val="24"/>
                <w:szCs w:val="24"/>
              </w:rPr>
              <w:t>204109,949</w:t>
            </w:r>
          </w:p>
        </w:tc>
        <w:tc>
          <w:tcPr>
            <w:tcW w:w="1701" w:type="dxa"/>
            <w:tcBorders>
              <w:top w:val="nil"/>
              <w:left w:val="nil"/>
              <w:bottom w:val="single" w:sz="4" w:space="0" w:color="auto"/>
              <w:right w:val="single" w:sz="4" w:space="0" w:color="auto"/>
            </w:tcBorders>
            <w:shd w:val="clear" w:color="auto" w:fill="auto"/>
            <w:vAlign w:val="center"/>
          </w:tcPr>
          <w:p w:rsidR="00FE5F1E" w:rsidRPr="00714D14" w:rsidRDefault="00753769" w:rsidP="00FE5F1E">
            <w:pPr>
              <w:rPr>
                <w:rFonts w:cs="Times New Roman"/>
                <w:color w:val="000000"/>
                <w:sz w:val="24"/>
                <w:szCs w:val="24"/>
              </w:rPr>
            </w:pPr>
            <w:r w:rsidRPr="00714D14">
              <w:rPr>
                <w:rFonts w:cs="Times New Roman"/>
                <w:color w:val="000000"/>
                <w:sz w:val="24"/>
                <w:szCs w:val="24"/>
              </w:rPr>
              <w:t>50235,488</w:t>
            </w:r>
          </w:p>
        </w:tc>
        <w:tc>
          <w:tcPr>
            <w:tcW w:w="1559" w:type="dxa"/>
            <w:tcBorders>
              <w:top w:val="nil"/>
              <w:left w:val="nil"/>
              <w:bottom w:val="single" w:sz="4" w:space="0" w:color="auto"/>
              <w:right w:val="single" w:sz="4" w:space="0" w:color="auto"/>
            </w:tcBorders>
            <w:shd w:val="clear" w:color="auto" w:fill="auto"/>
            <w:vAlign w:val="center"/>
          </w:tcPr>
          <w:p w:rsidR="00FE5F1E" w:rsidRPr="00714D14" w:rsidRDefault="009D33BD" w:rsidP="00FE5F1E">
            <w:pPr>
              <w:rPr>
                <w:sz w:val="24"/>
                <w:szCs w:val="24"/>
              </w:rPr>
            </w:pPr>
            <w:r w:rsidRPr="00714D14">
              <w:rPr>
                <w:sz w:val="24"/>
                <w:szCs w:val="24"/>
              </w:rPr>
              <w:t>39375,461</w:t>
            </w:r>
          </w:p>
        </w:tc>
        <w:tc>
          <w:tcPr>
            <w:tcW w:w="1560" w:type="dxa"/>
            <w:tcBorders>
              <w:top w:val="nil"/>
              <w:left w:val="nil"/>
              <w:bottom w:val="single" w:sz="4" w:space="0" w:color="auto"/>
              <w:right w:val="single" w:sz="4" w:space="0" w:color="auto"/>
            </w:tcBorders>
            <w:shd w:val="clear" w:color="auto" w:fill="auto"/>
            <w:vAlign w:val="center"/>
          </w:tcPr>
          <w:p w:rsidR="00FE5F1E" w:rsidRPr="00714D14" w:rsidRDefault="00FE5F1E" w:rsidP="00FE5F1E">
            <w:pPr>
              <w:divId w:val="141968864"/>
              <w:rPr>
                <w:sz w:val="24"/>
                <w:szCs w:val="24"/>
              </w:rPr>
            </w:pPr>
            <w:r w:rsidRPr="00714D14">
              <w:rPr>
                <w:sz w:val="24"/>
                <w:szCs w:val="24"/>
              </w:rPr>
              <w:t>28 804,00</w:t>
            </w:r>
          </w:p>
        </w:tc>
        <w:tc>
          <w:tcPr>
            <w:tcW w:w="1417" w:type="dxa"/>
            <w:tcBorders>
              <w:top w:val="nil"/>
              <w:left w:val="nil"/>
              <w:bottom w:val="single" w:sz="4" w:space="0" w:color="auto"/>
              <w:right w:val="single" w:sz="4" w:space="0" w:color="auto"/>
            </w:tcBorders>
            <w:shd w:val="clear" w:color="auto" w:fill="auto"/>
            <w:vAlign w:val="center"/>
          </w:tcPr>
          <w:p w:rsidR="00FE5F1E" w:rsidRPr="00714D14" w:rsidRDefault="00FE5F1E" w:rsidP="00FE5F1E">
            <w:pPr>
              <w:divId w:val="1333491912"/>
              <w:rPr>
                <w:sz w:val="24"/>
                <w:szCs w:val="24"/>
              </w:rPr>
            </w:pPr>
            <w:r w:rsidRPr="00714D14">
              <w:rPr>
                <w:sz w:val="24"/>
                <w:szCs w:val="24"/>
              </w:rPr>
              <w:t>28 534,00</w:t>
            </w:r>
          </w:p>
        </w:tc>
        <w:tc>
          <w:tcPr>
            <w:tcW w:w="1559" w:type="dxa"/>
            <w:tcBorders>
              <w:top w:val="nil"/>
              <w:left w:val="nil"/>
              <w:bottom w:val="single" w:sz="4" w:space="0" w:color="auto"/>
              <w:right w:val="single" w:sz="4" w:space="0" w:color="auto"/>
            </w:tcBorders>
            <w:shd w:val="clear" w:color="auto" w:fill="auto"/>
            <w:vAlign w:val="center"/>
          </w:tcPr>
          <w:p w:rsidR="00FE5F1E" w:rsidRPr="00714D14" w:rsidRDefault="00FE5F1E" w:rsidP="00FE5F1E">
            <w:pPr>
              <w:divId w:val="965544158"/>
              <w:rPr>
                <w:sz w:val="24"/>
                <w:szCs w:val="24"/>
              </w:rPr>
            </w:pPr>
            <w:r w:rsidRPr="00714D14">
              <w:rPr>
                <w:sz w:val="24"/>
                <w:szCs w:val="24"/>
              </w:rPr>
              <w:t>28 351,00</w:t>
            </w:r>
          </w:p>
        </w:tc>
        <w:tc>
          <w:tcPr>
            <w:tcW w:w="1532" w:type="dxa"/>
            <w:tcBorders>
              <w:top w:val="nil"/>
              <w:left w:val="nil"/>
              <w:bottom w:val="single" w:sz="4" w:space="0" w:color="auto"/>
              <w:right w:val="single" w:sz="4" w:space="0" w:color="auto"/>
            </w:tcBorders>
            <w:vAlign w:val="center"/>
          </w:tcPr>
          <w:p w:rsidR="00FE5F1E" w:rsidRPr="00714D14" w:rsidRDefault="00FE5F1E" w:rsidP="00FE5F1E">
            <w:pPr>
              <w:rPr>
                <w:sz w:val="24"/>
                <w:szCs w:val="24"/>
              </w:rPr>
            </w:pPr>
            <w:r w:rsidRPr="00714D14">
              <w:rPr>
                <w:rFonts w:cs="Times New Roman"/>
                <w:color w:val="000000"/>
                <w:sz w:val="24"/>
                <w:szCs w:val="24"/>
              </w:rPr>
              <w:t>28 810,0</w:t>
            </w:r>
          </w:p>
        </w:tc>
      </w:tr>
      <w:tr w:rsidR="00653FAB" w:rsidRPr="008874FC" w:rsidTr="00714D14">
        <w:trPr>
          <w:jc w:val="center"/>
        </w:trPr>
        <w:tc>
          <w:tcPr>
            <w:tcW w:w="3856" w:type="dxa"/>
            <w:tcBorders>
              <w:top w:val="single" w:sz="4" w:space="0" w:color="auto"/>
              <w:bottom w:val="nil"/>
              <w:right w:val="nil"/>
            </w:tcBorders>
          </w:tcPr>
          <w:p w:rsidR="00653FAB" w:rsidRPr="008874FC" w:rsidRDefault="00653FAB" w:rsidP="00BB2D64">
            <w:pPr>
              <w:widowControl w:val="0"/>
              <w:autoSpaceDE w:val="0"/>
              <w:autoSpaceDN w:val="0"/>
              <w:adjustRightInd w:val="0"/>
              <w:rPr>
                <w:rFonts w:eastAsiaTheme="minorEastAsia" w:cs="Times New Roman"/>
                <w:i/>
                <w:sz w:val="24"/>
                <w:szCs w:val="24"/>
                <w:lang w:eastAsia="ru-RU"/>
              </w:rPr>
            </w:pPr>
            <w:r w:rsidRPr="008874FC">
              <w:rPr>
                <w:rFonts w:eastAsiaTheme="minorEastAsia" w:cs="Times New Roman"/>
                <w:i/>
                <w:sz w:val="24"/>
                <w:szCs w:val="24"/>
                <w:lang w:eastAsia="ru-RU"/>
              </w:rPr>
              <w:t>Внебюджетные средства</w:t>
            </w:r>
          </w:p>
        </w:tc>
        <w:tc>
          <w:tcPr>
            <w:tcW w:w="1843" w:type="dxa"/>
            <w:tcBorders>
              <w:top w:val="nil"/>
              <w:left w:val="single" w:sz="4" w:space="0" w:color="auto"/>
              <w:bottom w:val="single" w:sz="4" w:space="0" w:color="auto"/>
              <w:right w:val="single" w:sz="4" w:space="0" w:color="auto"/>
            </w:tcBorders>
            <w:shd w:val="clear" w:color="auto" w:fill="auto"/>
            <w:vAlign w:val="center"/>
          </w:tcPr>
          <w:p w:rsidR="00653FAB" w:rsidRPr="00714D14" w:rsidRDefault="00653FAB" w:rsidP="00653FAB">
            <w:pPr>
              <w:rPr>
                <w:rFonts w:cs="Times New Roman"/>
                <w:color w:val="000000"/>
                <w:sz w:val="24"/>
                <w:szCs w:val="24"/>
              </w:rPr>
            </w:pPr>
            <w:r w:rsidRPr="00714D14">
              <w:rPr>
                <w:rFonts w:cs="Times New Roman"/>
                <w:color w:val="000000"/>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653FAB" w:rsidRPr="00714D14" w:rsidRDefault="00653FAB" w:rsidP="00653FAB">
            <w:pPr>
              <w:rPr>
                <w:rFonts w:cs="Times New Roman"/>
                <w:color w:val="000000"/>
                <w:sz w:val="24"/>
                <w:szCs w:val="24"/>
              </w:rPr>
            </w:pPr>
            <w:r w:rsidRPr="00714D14">
              <w:rPr>
                <w:rFonts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vAlign w:val="center"/>
          </w:tcPr>
          <w:p w:rsidR="00653FAB" w:rsidRPr="00714D14" w:rsidRDefault="00653FAB" w:rsidP="00653FAB">
            <w:pPr>
              <w:rPr>
                <w:sz w:val="24"/>
                <w:szCs w:val="24"/>
              </w:rPr>
            </w:pPr>
            <w:r w:rsidRPr="00714D14">
              <w:rPr>
                <w:rFonts w:cs="Times New Roman"/>
                <w:color w:val="000000"/>
                <w:sz w:val="24"/>
                <w:szCs w:val="24"/>
              </w:rPr>
              <w:t>0,0</w:t>
            </w:r>
          </w:p>
        </w:tc>
        <w:tc>
          <w:tcPr>
            <w:tcW w:w="1560" w:type="dxa"/>
            <w:tcBorders>
              <w:top w:val="nil"/>
              <w:left w:val="nil"/>
              <w:bottom w:val="single" w:sz="4" w:space="0" w:color="auto"/>
              <w:right w:val="single" w:sz="4" w:space="0" w:color="auto"/>
            </w:tcBorders>
            <w:shd w:val="clear" w:color="auto" w:fill="auto"/>
            <w:vAlign w:val="center"/>
          </w:tcPr>
          <w:p w:rsidR="00653FAB" w:rsidRPr="00714D14" w:rsidRDefault="00653FAB" w:rsidP="00653FAB">
            <w:pPr>
              <w:rPr>
                <w:sz w:val="24"/>
                <w:szCs w:val="24"/>
              </w:rPr>
            </w:pPr>
            <w:r w:rsidRPr="00714D14">
              <w:rPr>
                <w:rFonts w:cs="Times New Roman"/>
                <w:color w:val="000000"/>
                <w:sz w:val="24"/>
                <w:szCs w:val="24"/>
              </w:rPr>
              <w:t>0,0</w:t>
            </w:r>
          </w:p>
        </w:tc>
        <w:tc>
          <w:tcPr>
            <w:tcW w:w="1417" w:type="dxa"/>
            <w:tcBorders>
              <w:top w:val="nil"/>
              <w:left w:val="nil"/>
              <w:bottom w:val="single" w:sz="4" w:space="0" w:color="auto"/>
              <w:right w:val="single" w:sz="4" w:space="0" w:color="auto"/>
            </w:tcBorders>
            <w:shd w:val="clear" w:color="auto" w:fill="auto"/>
            <w:vAlign w:val="center"/>
          </w:tcPr>
          <w:p w:rsidR="00653FAB" w:rsidRPr="00714D14" w:rsidRDefault="00653FAB" w:rsidP="00653FAB">
            <w:pPr>
              <w:rPr>
                <w:sz w:val="24"/>
                <w:szCs w:val="24"/>
              </w:rPr>
            </w:pPr>
            <w:r w:rsidRPr="00714D14">
              <w:rPr>
                <w:rFonts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vAlign w:val="center"/>
          </w:tcPr>
          <w:p w:rsidR="00653FAB" w:rsidRPr="00714D14" w:rsidRDefault="00653FAB" w:rsidP="00653FAB">
            <w:pPr>
              <w:rPr>
                <w:sz w:val="24"/>
                <w:szCs w:val="24"/>
              </w:rPr>
            </w:pPr>
            <w:r w:rsidRPr="00714D14">
              <w:rPr>
                <w:rFonts w:cs="Times New Roman"/>
                <w:color w:val="000000"/>
                <w:sz w:val="24"/>
                <w:szCs w:val="24"/>
              </w:rPr>
              <w:t>0,0</w:t>
            </w:r>
          </w:p>
        </w:tc>
        <w:tc>
          <w:tcPr>
            <w:tcW w:w="1532" w:type="dxa"/>
            <w:tcBorders>
              <w:top w:val="nil"/>
              <w:left w:val="nil"/>
              <w:bottom w:val="single" w:sz="4" w:space="0" w:color="auto"/>
              <w:right w:val="single" w:sz="4" w:space="0" w:color="auto"/>
            </w:tcBorders>
            <w:vAlign w:val="center"/>
          </w:tcPr>
          <w:p w:rsidR="00653FAB" w:rsidRPr="00714D14" w:rsidRDefault="00653FAB" w:rsidP="00653FAB">
            <w:pPr>
              <w:rPr>
                <w:sz w:val="24"/>
                <w:szCs w:val="24"/>
              </w:rPr>
            </w:pPr>
            <w:r w:rsidRPr="00714D14">
              <w:rPr>
                <w:rFonts w:cs="Times New Roman"/>
                <w:color w:val="000000"/>
                <w:sz w:val="24"/>
                <w:szCs w:val="24"/>
              </w:rPr>
              <w:t>0,0</w:t>
            </w:r>
          </w:p>
        </w:tc>
      </w:tr>
      <w:tr w:rsidR="00653FAB" w:rsidRPr="008874FC" w:rsidTr="00714D14">
        <w:trPr>
          <w:jc w:val="center"/>
        </w:trPr>
        <w:tc>
          <w:tcPr>
            <w:tcW w:w="3856" w:type="dxa"/>
            <w:tcBorders>
              <w:top w:val="single" w:sz="4" w:space="0" w:color="auto"/>
              <w:bottom w:val="single" w:sz="4" w:space="0" w:color="auto"/>
              <w:right w:val="nil"/>
            </w:tcBorders>
          </w:tcPr>
          <w:p w:rsidR="00653FAB" w:rsidRPr="008874FC" w:rsidRDefault="00653FAB" w:rsidP="00BB2D64">
            <w:pPr>
              <w:widowControl w:val="0"/>
              <w:autoSpaceDE w:val="0"/>
              <w:autoSpaceDN w:val="0"/>
              <w:adjustRightInd w:val="0"/>
              <w:rPr>
                <w:rFonts w:eastAsiaTheme="minorEastAsia" w:cs="Times New Roman"/>
                <w:b/>
                <w:sz w:val="24"/>
                <w:szCs w:val="24"/>
                <w:lang w:eastAsia="ru-RU"/>
              </w:rPr>
            </w:pPr>
            <w:r w:rsidRPr="008874FC">
              <w:rPr>
                <w:rFonts w:eastAsiaTheme="minorEastAsia" w:cs="Times New Roman"/>
                <w:b/>
                <w:sz w:val="24"/>
                <w:szCs w:val="24"/>
                <w:lang w:eastAsia="ru-RU"/>
              </w:rPr>
              <w:t>Всего, в том числе по годам:</w:t>
            </w:r>
          </w:p>
        </w:tc>
        <w:tc>
          <w:tcPr>
            <w:tcW w:w="1843" w:type="dxa"/>
            <w:tcBorders>
              <w:top w:val="nil"/>
              <w:left w:val="single" w:sz="4" w:space="0" w:color="auto"/>
              <w:bottom w:val="single" w:sz="4" w:space="0" w:color="auto"/>
              <w:right w:val="single" w:sz="4" w:space="0" w:color="auto"/>
            </w:tcBorders>
            <w:shd w:val="clear" w:color="auto" w:fill="auto"/>
          </w:tcPr>
          <w:p w:rsidR="00653FAB" w:rsidRPr="00714D14" w:rsidRDefault="008874FC" w:rsidP="00653FAB">
            <w:pPr>
              <w:rPr>
                <w:rFonts w:cs="Times New Roman"/>
                <w:b/>
                <w:color w:val="000000"/>
                <w:sz w:val="24"/>
                <w:szCs w:val="24"/>
              </w:rPr>
            </w:pPr>
            <w:r w:rsidRPr="00714D14">
              <w:rPr>
                <w:rFonts w:cs="Times New Roman"/>
                <w:b/>
                <w:color w:val="000000"/>
                <w:sz w:val="24"/>
                <w:szCs w:val="24"/>
              </w:rPr>
              <w:fldChar w:fldCharType="begin"/>
            </w:r>
            <w:r w:rsidRPr="00714D14">
              <w:rPr>
                <w:rFonts w:cs="Times New Roman"/>
                <w:b/>
                <w:color w:val="000000"/>
                <w:sz w:val="24"/>
                <w:szCs w:val="24"/>
              </w:rPr>
              <w:instrText xml:space="preserve"> =SUM(ABOVE) </w:instrText>
            </w:r>
            <w:r w:rsidRPr="00714D14">
              <w:rPr>
                <w:rFonts w:cs="Times New Roman"/>
                <w:b/>
                <w:color w:val="000000"/>
                <w:sz w:val="24"/>
                <w:szCs w:val="24"/>
              </w:rPr>
              <w:fldChar w:fldCharType="separate"/>
            </w:r>
            <w:r w:rsidR="00714D14" w:rsidRPr="00714D14">
              <w:rPr>
                <w:rFonts w:cs="Times New Roman"/>
                <w:b/>
                <w:noProof/>
                <w:color w:val="000000"/>
                <w:sz w:val="24"/>
                <w:szCs w:val="24"/>
              </w:rPr>
              <w:t>317459,218</w:t>
            </w:r>
            <w:r w:rsidRPr="00714D14">
              <w:rPr>
                <w:rFonts w:cs="Times New Roman"/>
                <w:b/>
                <w:color w:val="000000"/>
                <w:sz w:val="24"/>
                <w:szCs w:val="24"/>
              </w:rPr>
              <w:fldChar w:fldCharType="end"/>
            </w:r>
          </w:p>
        </w:tc>
        <w:tc>
          <w:tcPr>
            <w:tcW w:w="1701" w:type="dxa"/>
            <w:tcBorders>
              <w:top w:val="nil"/>
              <w:left w:val="nil"/>
              <w:bottom w:val="single" w:sz="4" w:space="0" w:color="auto"/>
              <w:right w:val="single" w:sz="4" w:space="0" w:color="auto"/>
            </w:tcBorders>
            <w:shd w:val="clear" w:color="auto" w:fill="auto"/>
          </w:tcPr>
          <w:p w:rsidR="00653FAB" w:rsidRPr="00714D14" w:rsidRDefault="00753769" w:rsidP="00653FAB">
            <w:pPr>
              <w:rPr>
                <w:rFonts w:cs="Times New Roman"/>
                <w:b/>
                <w:color w:val="000000"/>
                <w:sz w:val="24"/>
                <w:szCs w:val="24"/>
              </w:rPr>
            </w:pPr>
            <w:r w:rsidRPr="00714D14">
              <w:rPr>
                <w:rFonts w:cs="Times New Roman"/>
                <w:b/>
                <w:color w:val="000000"/>
                <w:sz w:val="24"/>
                <w:szCs w:val="24"/>
              </w:rPr>
              <w:fldChar w:fldCharType="begin"/>
            </w:r>
            <w:r w:rsidRPr="00714D14">
              <w:rPr>
                <w:rFonts w:cs="Times New Roman"/>
                <w:b/>
                <w:color w:val="000000"/>
                <w:sz w:val="24"/>
                <w:szCs w:val="24"/>
              </w:rPr>
              <w:instrText xml:space="preserve"> =SUM(ABOVE) </w:instrText>
            </w:r>
            <w:r w:rsidRPr="00714D14">
              <w:rPr>
                <w:rFonts w:cs="Times New Roman"/>
                <w:b/>
                <w:color w:val="000000"/>
                <w:sz w:val="24"/>
                <w:szCs w:val="24"/>
              </w:rPr>
              <w:fldChar w:fldCharType="separate"/>
            </w:r>
            <w:r w:rsidRPr="00714D14">
              <w:rPr>
                <w:rFonts w:cs="Times New Roman"/>
                <w:b/>
                <w:noProof/>
                <w:color w:val="000000"/>
                <w:sz w:val="24"/>
                <w:szCs w:val="24"/>
              </w:rPr>
              <w:t>61240,488</w:t>
            </w:r>
            <w:r w:rsidRPr="00714D14">
              <w:rPr>
                <w:rFonts w:cs="Times New Roman"/>
                <w:b/>
                <w:color w:val="000000"/>
                <w:sz w:val="24"/>
                <w:szCs w:val="24"/>
              </w:rPr>
              <w:fldChar w:fldCharType="end"/>
            </w:r>
          </w:p>
        </w:tc>
        <w:tc>
          <w:tcPr>
            <w:tcW w:w="1559" w:type="dxa"/>
            <w:tcBorders>
              <w:top w:val="nil"/>
              <w:left w:val="nil"/>
              <w:bottom w:val="single" w:sz="4" w:space="0" w:color="auto"/>
              <w:right w:val="single" w:sz="4" w:space="0" w:color="auto"/>
            </w:tcBorders>
            <w:shd w:val="clear" w:color="auto" w:fill="auto"/>
          </w:tcPr>
          <w:p w:rsidR="00653FAB" w:rsidRPr="00714D14" w:rsidRDefault="008874FC" w:rsidP="00653FAB">
            <w:pPr>
              <w:rPr>
                <w:b/>
                <w:sz w:val="24"/>
                <w:szCs w:val="24"/>
              </w:rPr>
            </w:pPr>
            <w:r w:rsidRPr="00714D14">
              <w:rPr>
                <w:b/>
                <w:sz w:val="24"/>
                <w:szCs w:val="24"/>
              </w:rPr>
              <w:fldChar w:fldCharType="begin"/>
            </w:r>
            <w:r w:rsidRPr="00714D14">
              <w:rPr>
                <w:b/>
                <w:sz w:val="24"/>
                <w:szCs w:val="24"/>
              </w:rPr>
              <w:instrText xml:space="preserve"> =SUM(ABOVE) </w:instrText>
            </w:r>
            <w:r w:rsidRPr="00714D14">
              <w:rPr>
                <w:b/>
                <w:sz w:val="24"/>
                <w:szCs w:val="24"/>
              </w:rPr>
              <w:fldChar w:fldCharType="separate"/>
            </w:r>
            <w:r w:rsidR="009D33BD" w:rsidRPr="00714D14">
              <w:rPr>
                <w:b/>
                <w:noProof/>
                <w:sz w:val="24"/>
                <w:szCs w:val="24"/>
              </w:rPr>
              <w:t>114491,73</w:t>
            </w:r>
            <w:r w:rsidRPr="00714D14">
              <w:rPr>
                <w:b/>
                <w:sz w:val="24"/>
                <w:szCs w:val="24"/>
              </w:rPr>
              <w:fldChar w:fldCharType="end"/>
            </w:r>
          </w:p>
        </w:tc>
        <w:tc>
          <w:tcPr>
            <w:tcW w:w="1560" w:type="dxa"/>
            <w:tcBorders>
              <w:top w:val="nil"/>
              <w:left w:val="nil"/>
              <w:bottom w:val="single" w:sz="4" w:space="0" w:color="auto"/>
              <w:right w:val="single" w:sz="4" w:space="0" w:color="auto"/>
            </w:tcBorders>
            <w:shd w:val="clear" w:color="auto" w:fill="auto"/>
          </w:tcPr>
          <w:p w:rsidR="00653FAB" w:rsidRPr="00714D14" w:rsidRDefault="008874FC" w:rsidP="00653FAB">
            <w:pPr>
              <w:rPr>
                <w:b/>
                <w:sz w:val="24"/>
                <w:szCs w:val="24"/>
              </w:rPr>
            </w:pPr>
            <w:r w:rsidRPr="00714D14">
              <w:rPr>
                <w:b/>
                <w:sz w:val="24"/>
                <w:szCs w:val="24"/>
              </w:rPr>
              <w:fldChar w:fldCharType="begin"/>
            </w:r>
            <w:r w:rsidRPr="00714D14">
              <w:rPr>
                <w:b/>
                <w:sz w:val="24"/>
                <w:szCs w:val="24"/>
              </w:rPr>
              <w:instrText xml:space="preserve"> =SUM(ABOVE) </w:instrText>
            </w:r>
            <w:r w:rsidRPr="00714D14">
              <w:rPr>
                <w:b/>
                <w:sz w:val="24"/>
                <w:szCs w:val="24"/>
              </w:rPr>
              <w:fldChar w:fldCharType="separate"/>
            </w:r>
            <w:r w:rsidR="00653F0C" w:rsidRPr="00714D14">
              <w:rPr>
                <w:b/>
                <w:noProof/>
                <w:sz w:val="24"/>
                <w:szCs w:val="24"/>
              </w:rPr>
              <w:t>42 461</w:t>
            </w:r>
            <w:r w:rsidRPr="00714D14">
              <w:rPr>
                <w:b/>
                <w:sz w:val="24"/>
                <w:szCs w:val="24"/>
              </w:rPr>
              <w:fldChar w:fldCharType="end"/>
            </w:r>
            <w:r w:rsidR="00653F0C" w:rsidRPr="00714D14">
              <w:rPr>
                <w:b/>
                <w:sz w:val="24"/>
                <w:szCs w:val="24"/>
              </w:rPr>
              <w:t>,00</w:t>
            </w:r>
          </w:p>
        </w:tc>
        <w:tc>
          <w:tcPr>
            <w:tcW w:w="1417" w:type="dxa"/>
            <w:tcBorders>
              <w:top w:val="nil"/>
              <w:left w:val="nil"/>
              <w:bottom w:val="single" w:sz="4" w:space="0" w:color="auto"/>
              <w:right w:val="single" w:sz="4" w:space="0" w:color="auto"/>
            </w:tcBorders>
            <w:shd w:val="clear" w:color="auto" w:fill="auto"/>
          </w:tcPr>
          <w:p w:rsidR="00653FAB" w:rsidRPr="00714D14" w:rsidRDefault="008874FC" w:rsidP="00653FAB">
            <w:pPr>
              <w:rPr>
                <w:b/>
                <w:sz w:val="24"/>
                <w:szCs w:val="24"/>
              </w:rPr>
            </w:pPr>
            <w:r w:rsidRPr="00714D14">
              <w:rPr>
                <w:b/>
                <w:sz w:val="24"/>
                <w:szCs w:val="24"/>
              </w:rPr>
              <w:fldChar w:fldCharType="begin"/>
            </w:r>
            <w:r w:rsidRPr="00714D14">
              <w:rPr>
                <w:b/>
                <w:sz w:val="24"/>
                <w:szCs w:val="24"/>
              </w:rPr>
              <w:instrText xml:space="preserve"> =SUM(ABOVE) </w:instrText>
            </w:r>
            <w:r w:rsidRPr="00714D14">
              <w:rPr>
                <w:b/>
                <w:sz w:val="24"/>
                <w:szCs w:val="24"/>
              </w:rPr>
              <w:fldChar w:fldCharType="separate"/>
            </w:r>
            <w:r w:rsidR="00653F0C" w:rsidRPr="00714D14">
              <w:rPr>
                <w:b/>
                <w:noProof/>
                <w:sz w:val="24"/>
                <w:szCs w:val="24"/>
              </w:rPr>
              <w:t>37 054</w:t>
            </w:r>
            <w:r w:rsidRPr="00714D14">
              <w:rPr>
                <w:b/>
                <w:sz w:val="24"/>
                <w:szCs w:val="24"/>
              </w:rPr>
              <w:fldChar w:fldCharType="end"/>
            </w:r>
            <w:r w:rsidR="00653F0C" w:rsidRPr="00714D14">
              <w:rPr>
                <w:b/>
                <w:sz w:val="24"/>
                <w:szCs w:val="24"/>
              </w:rPr>
              <w:t>,00</w:t>
            </w:r>
          </w:p>
        </w:tc>
        <w:tc>
          <w:tcPr>
            <w:tcW w:w="1559" w:type="dxa"/>
            <w:tcBorders>
              <w:top w:val="nil"/>
              <w:left w:val="nil"/>
              <w:bottom w:val="single" w:sz="4" w:space="0" w:color="auto"/>
              <w:right w:val="single" w:sz="4" w:space="0" w:color="auto"/>
            </w:tcBorders>
            <w:shd w:val="clear" w:color="auto" w:fill="auto"/>
          </w:tcPr>
          <w:p w:rsidR="00653FAB" w:rsidRPr="00714D14" w:rsidRDefault="00653F0C" w:rsidP="00653FAB">
            <w:pPr>
              <w:rPr>
                <w:b/>
                <w:sz w:val="24"/>
                <w:szCs w:val="24"/>
              </w:rPr>
            </w:pPr>
            <w:r w:rsidRPr="00714D14">
              <w:rPr>
                <w:b/>
                <w:sz w:val="24"/>
                <w:szCs w:val="24"/>
              </w:rPr>
              <w:fldChar w:fldCharType="begin"/>
            </w:r>
            <w:r w:rsidRPr="00714D14">
              <w:rPr>
                <w:b/>
                <w:sz w:val="24"/>
                <w:szCs w:val="24"/>
              </w:rPr>
              <w:instrText xml:space="preserve"> =SUM(ABOVE) </w:instrText>
            </w:r>
            <w:r w:rsidRPr="00714D14">
              <w:rPr>
                <w:b/>
                <w:sz w:val="24"/>
                <w:szCs w:val="24"/>
              </w:rPr>
              <w:fldChar w:fldCharType="separate"/>
            </w:r>
            <w:r w:rsidRPr="00714D14">
              <w:rPr>
                <w:b/>
                <w:noProof/>
                <w:sz w:val="24"/>
                <w:szCs w:val="24"/>
              </w:rPr>
              <w:t>33 402</w:t>
            </w:r>
            <w:r w:rsidRPr="00714D14">
              <w:rPr>
                <w:b/>
                <w:sz w:val="24"/>
                <w:szCs w:val="24"/>
              </w:rPr>
              <w:fldChar w:fldCharType="end"/>
            </w:r>
            <w:r w:rsidRPr="00714D14">
              <w:rPr>
                <w:b/>
                <w:sz w:val="24"/>
                <w:szCs w:val="24"/>
              </w:rPr>
              <w:t>,00</w:t>
            </w:r>
          </w:p>
        </w:tc>
        <w:tc>
          <w:tcPr>
            <w:tcW w:w="1532" w:type="dxa"/>
            <w:tcBorders>
              <w:top w:val="nil"/>
              <w:left w:val="nil"/>
              <w:bottom w:val="single" w:sz="4" w:space="0" w:color="auto"/>
              <w:right w:val="single" w:sz="4" w:space="0" w:color="auto"/>
            </w:tcBorders>
          </w:tcPr>
          <w:p w:rsidR="00653FAB" w:rsidRPr="00714D14" w:rsidRDefault="00653FAB" w:rsidP="00653FAB">
            <w:pPr>
              <w:rPr>
                <w:b/>
                <w:sz w:val="24"/>
                <w:szCs w:val="24"/>
              </w:rPr>
            </w:pPr>
            <w:r w:rsidRPr="00714D14">
              <w:rPr>
                <w:rFonts w:cs="Times New Roman"/>
                <w:b/>
                <w:color w:val="000000"/>
                <w:sz w:val="24"/>
                <w:szCs w:val="24"/>
              </w:rPr>
              <w:t>28 810,0</w:t>
            </w:r>
          </w:p>
        </w:tc>
      </w:tr>
    </w:tbl>
    <w:p w:rsidR="00982F35" w:rsidRPr="008874FC" w:rsidRDefault="007514D1" w:rsidP="006023D9">
      <w:pPr>
        <w:pStyle w:val="ConsPlusNormal"/>
        <w:numPr>
          <w:ilvl w:val="0"/>
          <w:numId w:val="2"/>
        </w:numPr>
        <w:spacing w:before="220"/>
        <w:jc w:val="center"/>
        <w:rPr>
          <w:rFonts w:ascii="Times New Roman" w:hAnsi="Times New Roman" w:cs="Times New Roman"/>
          <w:sz w:val="24"/>
          <w:szCs w:val="24"/>
        </w:rPr>
      </w:pPr>
      <w:r w:rsidRPr="008874FC">
        <w:rPr>
          <w:rFonts w:ascii="Times New Roman" w:hAnsi="Times New Roman" w:cs="Times New Roman"/>
          <w:sz w:val="24"/>
          <w:szCs w:val="24"/>
        </w:rPr>
        <w:t>О</w:t>
      </w:r>
      <w:r w:rsidR="00CC26AD" w:rsidRPr="008874FC">
        <w:rPr>
          <w:rFonts w:ascii="Times New Roman" w:hAnsi="Times New Roman" w:cs="Times New Roman"/>
          <w:sz w:val="24"/>
          <w:szCs w:val="24"/>
        </w:rPr>
        <w:t>бщая характеристика сферы</w:t>
      </w:r>
      <w:r w:rsidR="006023D9" w:rsidRPr="008874FC">
        <w:rPr>
          <w:rFonts w:ascii="Times New Roman" w:hAnsi="Times New Roman" w:cs="Times New Roman"/>
          <w:sz w:val="24"/>
          <w:szCs w:val="24"/>
        </w:rPr>
        <w:t>.</w:t>
      </w:r>
    </w:p>
    <w:p w:rsidR="00982F35" w:rsidRPr="008874FC" w:rsidRDefault="00982F35" w:rsidP="00982F35">
      <w:pPr>
        <w:pStyle w:val="ConsPlusNormal"/>
        <w:spacing w:before="220"/>
        <w:ind w:firstLine="540"/>
        <w:jc w:val="both"/>
        <w:rPr>
          <w:rFonts w:ascii="Times New Roman" w:hAnsi="Times New Roman" w:cs="Times New Roman"/>
          <w:sz w:val="24"/>
          <w:szCs w:val="24"/>
        </w:rPr>
      </w:pPr>
      <w:r w:rsidRPr="008874FC">
        <w:rPr>
          <w:rFonts w:ascii="Times New Roman" w:hAnsi="Times New Roman" w:cs="Times New Roman"/>
          <w:sz w:val="24"/>
          <w:szCs w:val="24"/>
        </w:rPr>
        <w:t>Дорожно-транспортный комплекс является составной частью производственной инфраструктуры Московской области</w:t>
      </w:r>
      <w:r w:rsidR="00E9546D" w:rsidRPr="008874FC">
        <w:rPr>
          <w:rFonts w:ascii="Times New Roman" w:hAnsi="Times New Roman" w:cs="Times New Roman"/>
          <w:sz w:val="24"/>
          <w:szCs w:val="24"/>
        </w:rPr>
        <w:t>, в том числе городского округа Электрогорск</w:t>
      </w:r>
      <w:r w:rsidRPr="008874FC">
        <w:rPr>
          <w:rFonts w:ascii="Times New Roman" w:hAnsi="Times New Roman" w:cs="Times New Roman"/>
          <w:sz w:val="24"/>
          <w:szCs w:val="24"/>
        </w:rPr>
        <w:t>. Его устойчивое и эффективное развитие - необходимое условие обеспечения темпов экономического роста и улучшения качества жизни населения.</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Особенность дорожно-транспортного комплекса Московской области определяется рядом факторов:</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выполнением функций по транспортному обеспечению Московского региона;</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прохождением по территории Московской области важнейших международных транспортных коридоров;</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 xml:space="preserve">выполнением роли транзитного центра, концентрирующего </w:t>
      </w:r>
      <w:proofErr w:type="spellStart"/>
      <w:r w:rsidRPr="008874FC">
        <w:rPr>
          <w:rFonts w:ascii="Times New Roman" w:hAnsi="Times New Roman" w:cs="Times New Roman"/>
          <w:sz w:val="24"/>
          <w:szCs w:val="24"/>
        </w:rPr>
        <w:t>грузо</w:t>
      </w:r>
      <w:proofErr w:type="spellEnd"/>
      <w:r w:rsidRPr="008874FC">
        <w:rPr>
          <w:rFonts w:ascii="Times New Roman" w:hAnsi="Times New Roman" w:cs="Times New Roman"/>
          <w:sz w:val="24"/>
          <w:szCs w:val="24"/>
        </w:rPr>
        <w:t>- и пассажиропотоки из субъектов Российской Федерации;</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наличием развитой авиационной инфраструктуры, сети автомобильных дорог федерального и регионального значения, железных дорог, водных путей, системы пассажирского транспорта общего пользования;</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наличием крупных транспортно-логистических терминалов, составляющих самостоятельный кластер отрасли.</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Московская область - крупнейший транспортный узел, обеспечивающий транспортные связи между субъектами Российской Федерации.</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В последние годы транспорт Московского региона развивался динамично, значительно возросла его системообразующая роль, существенно повысилась транспортная активность населения.</w:t>
      </w:r>
      <w:r w:rsidR="00CC26AD" w:rsidRPr="008874FC">
        <w:rPr>
          <w:rFonts w:ascii="Times New Roman" w:hAnsi="Times New Roman" w:cs="Times New Roman"/>
          <w:sz w:val="24"/>
          <w:szCs w:val="24"/>
        </w:rPr>
        <w:t xml:space="preserve"> </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Вместе с тем состояние дорожно-транспортного комплекса Московской области не соответствует потребностям социально-экономического развития Московского региона, дефицит провозных и пропускных способностей существует на всех видах транспорта. Это снижает мобильность населения, препятствует развитию бизнеса, сдерживает привлечение инвестиций и приводит к снижению конкурентоспособности экономики Московского региона.</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К основным проблемам развития дорожно-транспортного комплекса в настоящее время можно отнести:</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отставание темпов развития транспортной инфраструктуры от темпов социально-экономического развития региона;</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ухудшение транспортной доступности;</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высокий износ основных фондов, недостаточный технический и технологический уровень транспортной техники и оборудования;</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снижение безопасности транспортных процессов, в первую очередь дорожного движения.</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К основным факторам, определяющим причины высокого уровня аварийности в Московской области, следует отнести:</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массовое нарушение требований безопасности дорожного движения со стороны участников движения (управление транспортным средством в нетрезвом состоянии, превышение скорости движения, выезд на полосу встречного движения и так далее);</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lastRenderedPageBreak/>
        <w:t>низкий уровень подготовки водителей транспортных средств;</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недостаточный технический уровень дорожного хозяйства;</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несовершенство технических средств организации дорожного движения;</w:t>
      </w:r>
    </w:p>
    <w:p w:rsidR="00982F35" w:rsidRPr="008874FC" w:rsidRDefault="00982F35"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недостаточная информированность населения о проблемах безопасности дорожного движения.</w:t>
      </w:r>
    </w:p>
    <w:p w:rsidR="00E9546D" w:rsidRPr="008874FC" w:rsidRDefault="00E9546D" w:rsidP="00714D14">
      <w:pPr>
        <w:pStyle w:val="ConsPlusNormal"/>
        <w:ind w:firstLine="540"/>
        <w:jc w:val="both"/>
        <w:rPr>
          <w:sz w:val="24"/>
          <w:szCs w:val="24"/>
        </w:rPr>
      </w:pPr>
      <w:r w:rsidRPr="008874FC">
        <w:rPr>
          <w:rFonts w:ascii="Times New Roman" w:hAnsi="Times New Roman" w:cs="Times New Roman"/>
          <w:sz w:val="24"/>
          <w:szCs w:val="24"/>
        </w:rPr>
        <w:t>В рамках исполнения муниципальной п</w:t>
      </w:r>
      <w:r w:rsidR="00982F35" w:rsidRPr="008874FC">
        <w:rPr>
          <w:rFonts w:ascii="Times New Roman" w:hAnsi="Times New Roman" w:cs="Times New Roman"/>
          <w:sz w:val="24"/>
          <w:szCs w:val="24"/>
        </w:rPr>
        <w:t>рограммы реализуются мероприятия, направленные на повышение безопасности дорожного движения.</w:t>
      </w:r>
      <w:r w:rsidRPr="008874FC">
        <w:rPr>
          <w:sz w:val="24"/>
          <w:szCs w:val="24"/>
        </w:rPr>
        <w:t xml:space="preserve"> </w:t>
      </w:r>
    </w:p>
    <w:p w:rsidR="00E9546D" w:rsidRPr="008874FC" w:rsidRDefault="00E9546D"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Общая протяженность дорог общего пользования местного значения на территории городского округа Электрогорск Московской области на 01</w:t>
      </w:r>
      <w:proofErr w:type="gramStart"/>
      <w:r w:rsidRPr="008874FC">
        <w:rPr>
          <w:rFonts w:ascii="Times New Roman" w:hAnsi="Times New Roman" w:cs="Times New Roman"/>
          <w:sz w:val="24"/>
          <w:szCs w:val="24"/>
        </w:rPr>
        <w:t>.</w:t>
      </w:r>
      <w:proofErr w:type="gramEnd"/>
      <w:r w:rsidRPr="008874FC">
        <w:rPr>
          <w:rFonts w:ascii="Times New Roman" w:hAnsi="Times New Roman" w:cs="Times New Roman"/>
          <w:sz w:val="24"/>
          <w:szCs w:val="24"/>
        </w:rPr>
        <w:t xml:space="preserve">01.2019г. составляет 46,4 км из которых более 45% являются грунтовыми, выработали нормативный срок и требуют ремонта. </w:t>
      </w:r>
    </w:p>
    <w:p w:rsidR="00E9546D" w:rsidRPr="008874FC" w:rsidRDefault="00E9546D"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 xml:space="preserve">Выполнение работ по ремонту автомобильных дорог общего пользования местного значения в полном объеме в ближайшие годы невозможно за счет средств бюджета города. Администрация города не может остаться в стороне от решения данной проблемы. Поэтому проблему ремонта дорог общего пользования местного значения необходимо решать программным способом, предусматривающим совместное финансирование, в том числе из бюджетов всех уровней. </w:t>
      </w:r>
    </w:p>
    <w:p w:rsidR="00E9546D" w:rsidRPr="008874FC" w:rsidRDefault="00E9546D" w:rsidP="00714D14">
      <w:pPr>
        <w:pStyle w:val="ConsPlusNormal"/>
        <w:ind w:firstLine="540"/>
        <w:jc w:val="both"/>
        <w:rPr>
          <w:rFonts w:ascii="Times New Roman" w:hAnsi="Times New Roman" w:cs="Times New Roman"/>
          <w:sz w:val="24"/>
          <w:szCs w:val="24"/>
        </w:rPr>
      </w:pPr>
      <w:r w:rsidRPr="008874FC">
        <w:rPr>
          <w:rFonts w:ascii="Times New Roman" w:hAnsi="Times New Roman" w:cs="Times New Roman"/>
          <w:sz w:val="24"/>
          <w:szCs w:val="24"/>
        </w:rPr>
        <w:t>Содержание в надлежащем состоянии автомобильных  дорог общего пользования местного значения городского округа Электрогорск  и элементов по их обустройству требует регулярного выполнения большого объема работ по очистке проезжей части дорог, обочин, тротуаров, автопавильонов, по ямочному ремонту и ремонту картами покрытия дорог, по промывке, очистке водоотводных устройств, дорожных знаков, ограждений, а также по замене при необходимости элементов обустройства автомобильных дорог и искусственных сооружений.</w:t>
      </w:r>
    </w:p>
    <w:p w:rsidR="00AD5612" w:rsidRPr="008874FC" w:rsidRDefault="00E9546D" w:rsidP="00AD5612">
      <w:pPr>
        <w:pStyle w:val="ConsPlusNormal"/>
        <w:spacing w:before="220"/>
        <w:ind w:firstLine="540"/>
        <w:jc w:val="both"/>
        <w:rPr>
          <w:rFonts w:ascii="Times New Roman" w:hAnsi="Times New Roman" w:cs="Times New Roman"/>
          <w:sz w:val="24"/>
          <w:szCs w:val="24"/>
        </w:rPr>
      </w:pPr>
      <w:r w:rsidRPr="008874FC">
        <w:rPr>
          <w:rFonts w:ascii="Times New Roman" w:hAnsi="Times New Roman" w:cs="Times New Roman"/>
          <w:sz w:val="24"/>
          <w:szCs w:val="24"/>
        </w:rPr>
        <w:t>При формировании подпрограмм муниципальной п</w:t>
      </w:r>
      <w:r w:rsidR="00AD5612" w:rsidRPr="008874FC">
        <w:rPr>
          <w:rFonts w:ascii="Times New Roman" w:hAnsi="Times New Roman" w:cs="Times New Roman"/>
          <w:sz w:val="24"/>
          <w:szCs w:val="24"/>
        </w:rPr>
        <w:t xml:space="preserve">рограммы заложены принципы максимального охвата всех сфер деятельности исполнителей и повышения эффективности бюджетных расходов. Подпрограммы будут реализованы в установленной сфере деятельности уполномоченных органов </w:t>
      </w:r>
      <w:r w:rsidR="00EA5514" w:rsidRPr="008874FC">
        <w:rPr>
          <w:rFonts w:ascii="Times New Roman" w:hAnsi="Times New Roman" w:cs="Times New Roman"/>
          <w:sz w:val="24"/>
          <w:szCs w:val="24"/>
        </w:rPr>
        <w:t>муниципальной власти.</w:t>
      </w:r>
    </w:p>
    <w:p w:rsidR="00AD5612" w:rsidRPr="008874FC" w:rsidRDefault="00AD5612" w:rsidP="00AD5612">
      <w:pPr>
        <w:pStyle w:val="ConsPlusNormal"/>
        <w:spacing w:before="220"/>
        <w:ind w:firstLine="540"/>
        <w:jc w:val="both"/>
        <w:rPr>
          <w:rFonts w:ascii="Times New Roman" w:hAnsi="Times New Roman" w:cs="Times New Roman"/>
          <w:sz w:val="24"/>
          <w:szCs w:val="24"/>
        </w:rPr>
      </w:pPr>
      <w:r w:rsidRPr="008874FC">
        <w:rPr>
          <w:rFonts w:ascii="Times New Roman" w:hAnsi="Times New Roman" w:cs="Times New Roman"/>
          <w:sz w:val="24"/>
          <w:szCs w:val="24"/>
        </w:rPr>
        <w:t xml:space="preserve">Последовательность выполнения мероприятий подпрограмм определяется уполномоченными органами </w:t>
      </w:r>
      <w:r w:rsidR="007514D1" w:rsidRPr="008874FC">
        <w:rPr>
          <w:rFonts w:ascii="Times New Roman" w:hAnsi="Times New Roman" w:cs="Times New Roman"/>
          <w:sz w:val="24"/>
          <w:szCs w:val="24"/>
        </w:rPr>
        <w:t xml:space="preserve">муниципальной </w:t>
      </w:r>
      <w:r w:rsidRPr="008874FC">
        <w:rPr>
          <w:rFonts w:ascii="Times New Roman" w:hAnsi="Times New Roman" w:cs="Times New Roman"/>
          <w:sz w:val="24"/>
          <w:szCs w:val="24"/>
        </w:rPr>
        <w:t xml:space="preserve">власти - главными распорядителями бюджетных средств </w:t>
      </w:r>
      <w:r w:rsidR="00E9546D" w:rsidRPr="008874FC">
        <w:rPr>
          <w:rFonts w:ascii="Times New Roman" w:hAnsi="Times New Roman" w:cs="Times New Roman"/>
          <w:sz w:val="24"/>
          <w:szCs w:val="24"/>
        </w:rPr>
        <w:t>городского округа Электрогорск</w:t>
      </w:r>
      <w:r w:rsidR="007514D1" w:rsidRPr="008874FC">
        <w:rPr>
          <w:rFonts w:ascii="Times New Roman" w:hAnsi="Times New Roman" w:cs="Times New Roman"/>
          <w:sz w:val="24"/>
          <w:szCs w:val="24"/>
        </w:rPr>
        <w:t xml:space="preserve"> </w:t>
      </w:r>
      <w:r w:rsidRPr="008874FC">
        <w:rPr>
          <w:rFonts w:ascii="Times New Roman" w:hAnsi="Times New Roman" w:cs="Times New Roman"/>
          <w:sz w:val="24"/>
          <w:szCs w:val="24"/>
        </w:rPr>
        <w:t>Московской области.</w:t>
      </w:r>
    </w:p>
    <w:p w:rsidR="00AD5612" w:rsidRPr="008874FC" w:rsidRDefault="008A16FD" w:rsidP="00A16275">
      <w:pPr>
        <w:pStyle w:val="ConsPlusNormal"/>
        <w:spacing w:before="220"/>
        <w:ind w:firstLine="540"/>
        <w:jc w:val="both"/>
        <w:rPr>
          <w:rFonts w:ascii="Times New Roman" w:hAnsi="Times New Roman" w:cs="Times New Roman"/>
          <w:sz w:val="24"/>
          <w:szCs w:val="24"/>
        </w:rPr>
      </w:pPr>
      <w:r w:rsidRPr="008874FC">
        <w:rPr>
          <w:rFonts w:ascii="Times New Roman" w:hAnsi="Times New Roman" w:cs="Times New Roman"/>
          <w:sz w:val="24"/>
          <w:szCs w:val="24"/>
        </w:rPr>
        <w:t xml:space="preserve"> Подпрограмма «</w:t>
      </w:r>
      <w:r w:rsidR="00AD5612" w:rsidRPr="008874FC">
        <w:rPr>
          <w:rFonts w:ascii="Times New Roman" w:hAnsi="Times New Roman" w:cs="Times New Roman"/>
          <w:sz w:val="24"/>
          <w:szCs w:val="24"/>
        </w:rPr>
        <w:t>Пассажирский транспорт общего поль</w:t>
      </w:r>
      <w:r w:rsidRPr="008874FC">
        <w:rPr>
          <w:rFonts w:ascii="Times New Roman" w:hAnsi="Times New Roman" w:cs="Times New Roman"/>
          <w:sz w:val="24"/>
          <w:szCs w:val="24"/>
        </w:rPr>
        <w:t>зования»</w:t>
      </w:r>
      <w:r w:rsidR="00AD5612" w:rsidRPr="008874FC">
        <w:rPr>
          <w:rFonts w:ascii="Times New Roman" w:hAnsi="Times New Roman" w:cs="Times New Roman"/>
          <w:sz w:val="24"/>
          <w:szCs w:val="24"/>
        </w:rPr>
        <w:t xml:space="preserve"> направлена на повышение доступности и качества транспортных услуг для населения. Мероприятия подпрограммы направлены на создание преимущественных условий для функционирования транспорта общего пользования, улучшение качества предоставляемых услуг, снижение транспортных расходов, повышение качества услуг и безопасности транспорта общего пользования, в том числе путем обновления парка транспорта общего пользования на условиях государственной поддержки.</w:t>
      </w:r>
    </w:p>
    <w:p w:rsidR="008A16FD" w:rsidRPr="008874FC" w:rsidRDefault="008A16FD" w:rsidP="00A16275">
      <w:pPr>
        <w:pStyle w:val="ConsPlusNormal"/>
        <w:spacing w:before="220"/>
        <w:ind w:firstLine="540"/>
        <w:jc w:val="both"/>
        <w:rPr>
          <w:rFonts w:ascii="Times New Roman" w:hAnsi="Times New Roman" w:cs="Times New Roman"/>
          <w:sz w:val="24"/>
          <w:szCs w:val="24"/>
        </w:rPr>
      </w:pPr>
      <w:r w:rsidRPr="008874FC">
        <w:rPr>
          <w:rFonts w:ascii="Times New Roman" w:hAnsi="Times New Roman" w:cs="Times New Roman"/>
          <w:sz w:val="24"/>
          <w:szCs w:val="24"/>
        </w:rPr>
        <w:t>В рамках реализации подпрограммы «Дороги Подмосковья» особое внимание уделяется развитию сети автомобильных дорог общего пользования м</w:t>
      </w:r>
      <w:bookmarkStart w:id="1" w:name="_GoBack"/>
      <w:bookmarkEnd w:id="1"/>
      <w:r w:rsidRPr="008874FC">
        <w:rPr>
          <w:rFonts w:ascii="Times New Roman" w:hAnsi="Times New Roman" w:cs="Times New Roman"/>
          <w:sz w:val="24"/>
          <w:szCs w:val="24"/>
        </w:rPr>
        <w:t>естного значения на территории муниципального образования, обеспечению нормативного состояния автомобильных дорог местного значения, обеспечению сельских населенных пунктов круглогодичной связью с сетью автомобильных дорог Московской области.</w:t>
      </w:r>
    </w:p>
    <w:p w:rsidR="00AD5612" w:rsidRPr="008874FC" w:rsidRDefault="00E9546D" w:rsidP="00AD5612">
      <w:pPr>
        <w:pStyle w:val="ConsPlusNormal"/>
        <w:spacing w:before="220"/>
        <w:ind w:firstLine="540"/>
        <w:jc w:val="both"/>
        <w:rPr>
          <w:rFonts w:ascii="Times New Roman" w:hAnsi="Times New Roman" w:cs="Times New Roman"/>
          <w:sz w:val="24"/>
          <w:szCs w:val="24"/>
        </w:rPr>
      </w:pPr>
      <w:r w:rsidRPr="008874FC">
        <w:rPr>
          <w:rFonts w:ascii="Times New Roman" w:hAnsi="Times New Roman" w:cs="Times New Roman"/>
          <w:sz w:val="24"/>
          <w:szCs w:val="24"/>
        </w:rPr>
        <w:t>Представленная структура муниципальной п</w:t>
      </w:r>
      <w:r w:rsidR="00AD5612" w:rsidRPr="008874FC">
        <w:rPr>
          <w:rFonts w:ascii="Times New Roman" w:hAnsi="Times New Roman" w:cs="Times New Roman"/>
          <w:sz w:val="24"/>
          <w:szCs w:val="24"/>
        </w:rPr>
        <w:t>рограммы позволяет сконцентрировать ресурсы на приоритетных мероприятиях и существенно упростить процедуры мониторинга</w:t>
      </w:r>
      <w:r w:rsidRPr="008874FC">
        <w:rPr>
          <w:rFonts w:ascii="Times New Roman" w:hAnsi="Times New Roman" w:cs="Times New Roman"/>
          <w:sz w:val="24"/>
          <w:szCs w:val="24"/>
        </w:rPr>
        <w:t>, актуализации и корректировки муниципальной п</w:t>
      </w:r>
      <w:r w:rsidR="00AD5612" w:rsidRPr="008874FC">
        <w:rPr>
          <w:rFonts w:ascii="Times New Roman" w:hAnsi="Times New Roman" w:cs="Times New Roman"/>
          <w:sz w:val="24"/>
          <w:szCs w:val="24"/>
        </w:rPr>
        <w:t>рограммы, повысить эффективность управления ее реализацией.</w:t>
      </w:r>
    </w:p>
    <w:p w:rsidR="00E9546D" w:rsidRDefault="00E9546D" w:rsidP="009B7040">
      <w:pPr>
        <w:pStyle w:val="ConsPlusNormal"/>
        <w:spacing w:before="220"/>
        <w:jc w:val="both"/>
        <w:rPr>
          <w:rFonts w:ascii="Times New Roman" w:hAnsi="Times New Roman" w:cs="Times New Roman"/>
          <w:sz w:val="24"/>
          <w:szCs w:val="24"/>
        </w:rPr>
      </w:pPr>
    </w:p>
    <w:sectPr w:rsidR="00E9546D" w:rsidSect="00DA3B44">
      <w:headerReference w:type="first" r:id="rId8"/>
      <w:pgSz w:w="16838" w:h="11906" w:orient="landscape"/>
      <w:pgMar w:top="720" w:right="720" w:bottom="720" w:left="720"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2A4" w:rsidRDefault="00B732A4" w:rsidP="00936B5F">
      <w:r>
        <w:separator/>
      </w:r>
    </w:p>
  </w:endnote>
  <w:endnote w:type="continuationSeparator" w:id="0">
    <w:p w:rsidR="00B732A4" w:rsidRDefault="00B732A4"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2A4" w:rsidRDefault="00B732A4" w:rsidP="00936B5F">
      <w:r>
        <w:separator/>
      </w:r>
    </w:p>
  </w:footnote>
  <w:footnote w:type="continuationSeparator" w:id="0">
    <w:p w:rsidR="00B732A4" w:rsidRDefault="00B732A4" w:rsidP="00936B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D64" w:rsidRPr="00B5156B" w:rsidRDefault="00BB2D64" w:rsidP="00B5156B">
    <w:pPr>
      <w:pStyle w:val="a7"/>
      <w:jc w:val="right"/>
      <w:rPr>
        <w:sz w:val="22"/>
      </w:rPr>
    </w:pPr>
    <w:r w:rsidRPr="00B5156B">
      <w:rPr>
        <w:sz w:val="22"/>
      </w:rPr>
      <w:t xml:space="preserve">Приложение 1 </w:t>
    </w:r>
  </w:p>
  <w:p w:rsidR="00BB2D64" w:rsidRPr="00B5156B" w:rsidRDefault="00BB2D64" w:rsidP="00B5156B">
    <w:pPr>
      <w:pStyle w:val="a7"/>
      <w:jc w:val="right"/>
      <w:rPr>
        <w:sz w:val="22"/>
      </w:rPr>
    </w:pPr>
    <w:r w:rsidRPr="00B5156B">
      <w:rPr>
        <w:sz w:val="22"/>
      </w:rPr>
      <w:t xml:space="preserve">к Постановлению Главы городского округа Электрогорск </w:t>
    </w:r>
  </w:p>
  <w:p w:rsidR="00BB2D64" w:rsidRPr="00B5156B" w:rsidRDefault="00BB2D64" w:rsidP="00B5156B">
    <w:pPr>
      <w:pStyle w:val="a7"/>
      <w:jc w:val="right"/>
      <w:rPr>
        <w:sz w:val="22"/>
      </w:rPr>
    </w:pPr>
    <w:r w:rsidRPr="00B5156B">
      <w:rPr>
        <w:sz w:val="22"/>
      </w:rPr>
      <w:t>Московской области от «</w:t>
    </w:r>
    <w:r w:rsidR="00643943">
      <w:rPr>
        <w:sz w:val="22"/>
      </w:rPr>
      <w:t>08</w:t>
    </w:r>
    <w:r w:rsidRPr="00B5156B">
      <w:rPr>
        <w:sz w:val="22"/>
      </w:rPr>
      <w:t>» ноября 2019 года</w:t>
    </w:r>
    <w:r w:rsidR="00643943">
      <w:rPr>
        <w:sz w:val="22"/>
      </w:rPr>
      <w:t xml:space="preserve"> № 892</w:t>
    </w:r>
    <w:r w:rsidRPr="00B5156B">
      <w:rPr>
        <w:sz w:val="22"/>
      </w:rPr>
      <w:t xml:space="preserve"> </w:t>
    </w:r>
  </w:p>
  <w:p w:rsidR="00BB2D64" w:rsidRPr="00B5156B" w:rsidRDefault="00BB2D64" w:rsidP="00B5156B">
    <w:pPr>
      <w:pStyle w:val="a7"/>
      <w:jc w:val="right"/>
      <w:rPr>
        <w:sz w:val="22"/>
      </w:rPr>
    </w:pPr>
    <w:r w:rsidRPr="00B5156B">
      <w:rPr>
        <w:sz w:val="22"/>
      </w:rPr>
      <w:t xml:space="preserve">«Об утверждении муниципальной программы </w:t>
    </w:r>
  </w:p>
  <w:p w:rsidR="00BB2D64" w:rsidRPr="00B5156B" w:rsidRDefault="00BB2D64" w:rsidP="00B5156B">
    <w:pPr>
      <w:pStyle w:val="a7"/>
      <w:jc w:val="right"/>
      <w:rPr>
        <w:sz w:val="22"/>
      </w:rPr>
    </w:pPr>
    <w:r w:rsidRPr="00B5156B">
      <w:rPr>
        <w:sz w:val="22"/>
      </w:rPr>
      <w:t>«Развитие и функционирование дорожно-транс</w:t>
    </w:r>
    <w:r w:rsidR="00E8570A">
      <w:rPr>
        <w:sz w:val="22"/>
      </w:rPr>
      <w:t>портного комплекса» на 2020-2025</w:t>
    </w:r>
    <w:r w:rsidRPr="00B5156B">
      <w:rPr>
        <w:sz w:val="22"/>
      </w:rPr>
      <w:t xml:space="preserve"> годы</w:t>
    </w:r>
    <w:r>
      <w:rPr>
        <w:sz w:val="22"/>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1750BF"/>
    <w:multiLevelType w:val="hybridMultilevel"/>
    <w:tmpl w:val="697AEC3A"/>
    <w:lvl w:ilvl="0" w:tplc="D8FE10A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51087712"/>
    <w:multiLevelType w:val="hybridMultilevel"/>
    <w:tmpl w:val="57D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6AD"/>
    <w:rsid w:val="0000262B"/>
    <w:rsid w:val="000070D1"/>
    <w:rsid w:val="00022D07"/>
    <w:rsid w:val="00040C32"/>
    <w:rsid w:val="00051A9B"/>
    <w:rsid w:val="000A3745"/>
    <w:rsid w:val="000A4A2C"/>
    <w:rsid w:val="000B2126"/>
    <w:rsid w:val="000C0FC0"/>
    <w:rsid w:val="000E63A1"/>
    <w:rsid w:val="000E7E6B"/>
    <w:rsid w:val="00101400"/>
    <w:rsid w:val="0011606A"/>
    <w:rsid w:val="00120BE6"/>
    <w:rsid w:val="00122384"/>
    <w:rsid w:val="0012328D"/>
    <w:rsid w:val="001514F3"/>
    <w:rsid w:val="00151C33"/>
    <w:rsid w:val="00164001"/>
    <w:rsid w:val="00181CB3"/>
    <w:rsid w:val="00184090"/>
    <w:rsid w:val="00186C69"/>
    <w:rsid w:val="001C1C5D"/>
    <w:rsid w:val="001C465B"/>
    <w:rsid w:val="001D4C46"/>
    <w:rsid w:val="001E45E0"/>
    <w:rsid w:val="00205B7B"/>
    <w:rsid w:val="0021577A"/>
    <w:rsid w:val="002208C8"/>
    <w:rsid w:val="00222D65"/>
    <w:rsid w:val="00225EC2"/>
    <w:rsid w:val="00230FAC"/>
    <w:rsid w:val="002315E2"/>
    <w:rsid w:val="00241689"/>
    <w:rsid w:val="002476BA"/>
    <w:rsid w:val="00254557"/>
    <w:rsid w:val="0026697E"/>
    <w:rsid w:val="0027110C"/>
    <w:rsid w:val="00283AE3"/>
    <w:rsid w:val="00297D00"/>
    <w:rsid w:val="002A3297"/>
    <w:rsid w:val="002B168A"/>
    <w:rsid w:val="002B3974"/>
    <w:rsid w:val="002C03D9"/>
    <w:rsid w:val="002C67A8"/>
    <w:rsid w:val="002E0ECF"/>
    <w:rsid w:val="002E1071"/>
    <w:rsid w:val="002E7C5D"/>
    <w:rsid w:val="003142F7"/>
    <w:rsid w:val="00324977"/>
    <w:rsid w:val="003315CE"/>
    <w:rsid w:val="00331834"/>
    <w:rsid w:val="003458BF"/>
    <w:rsid w:val="00352029"/>
    <w:rsid w:val="003532B0"/>
    <w:rsid w:val="0037091E"/>
    <w:rsid w:val="00374ACB"/>
    <w:rsid w:val="00376C97"/>
    <w:rsid w:val="003958EE"/>
    <w:rsid w:val="00397E5F"/>
    <w:rsid w:val="003A04C4"/>
    <w:rsid w:val="003A1AF8"/>
    <w:rsid w:val="003B4E41"/>
    <w:rsid w:val="003B6C09"/>
    <w:rsid w:val="003C504E"/>
    <w:rsid w:val="003D3500"/>
    <w:rsid w:val="003D76C8"/>
    <w:rsid w:val="003E2038"/>
    <w:rsid w:val="003E2662"/>
    <w:rsid w:val="003F49BD"/>
    <w:rsid w:val="00411BAE"/>
    <w:rsid w:val="00426560"/>
    <w:rsid w:val="00447364"/>
    <w:rsid w:val="004518E2"/>
    <w:rsid w:val="004540E3"/>
    <w:rsid w:val="004914A3"/>
    <w:rsid w:val="0049454B"/>
    <w:rsid w:val="004A0B8A"/>
    <w:rsid w:val="004A1FDD"/>
    <w:rsid w:val="004B1783"/>
    <w:rsid w:val="004B50B1"/>
    <w:rsid w:val="004C0497"/>
    <w:rsid w:val="004C7BD7"/>
    <w:rsid w:val="004D6F23"/>
    <w:rsid w:val="004D71F9"/>
    <w:rsid w:val="004D7BC1"/>
    <w:rsid w:val="004E241B"/>
    <w:rsid w:val="0051613A"/>
    <w:rsid w:val="005327F0"/>
    <w:rsid w:val="005434B4"/>
    <w:rsid w:val="005560DB"/>
    <w:rsid w:val="00574BD4"/>
    <w:rsid w:val="005923DE"/>
    <w:rsid w:val="00593B52"/>
    <w:rsid w:val="005A722B"/>
    <w:rsid w:val="005B2C72"/>
    <w:rsid w:val="005C1176"/>
    <w:rsid w:val="005E1F95"/>
    <w:rsid w:val="005E4020"/>
    <w:rsid w:val="006023D9"/>
    <w:rsid w:val="0060651E"/>
    <w:rsid w:val="0062314D"/>
    <w:rsid w:val="00623685"/>
    <w:rsid w:val="006246DF"/>
    <w:rsid w:val="00624C4E"/>
    <w:rsid w:val="00626499"/>
    <w:rsid w:val="00642429"/>
    <w:rsid w:val="00643943"/>
    <w:rsid w:val="00645636"/>
    <w:rsid w:val="00653F0C"/>
    <w:rsid w:val="00653FAB"/>
    <w:rsid w:val="0066652D"/>
    <w:rsid w:val="00673262"/>
    <w:rsid w:val="00686378"/>
    <w:rsid w:val="00696C3C"/>
    <w:rsid w:val="006B269F"/>
    <w:rsid w:val="006B7B45"/>
    <w:rsid w:val="0070570D"/>
    <w:rsid w:val="0070675D"/>
    <w:rsid w:val="00714D14"/>
    <w:rsid w:val="007156A0"/>
    <w:rsid w:val="007163D9"/>
    <w:rsid w:val="007220EC"/>
    <w:rsid w:val="00723473"/>
    <w:rsid w:val="0072682A"/>
    <w:rsid w:val="007514D1"/>
    <w:rsid w:val="007535EE"/>
    <w:rsid w:val="00753769"/>
    <w:rsid w:val="00773C71"/>
    <w:rsid w:val="00773FAB"/>
    <w:rsid w:val="00780401"/>
    <w:rsid w:val="007B3DD6"/>
    <w:rsid w:val="007C1BEE"/>
    <w:rsid w:val="00813B6C"/>
    <w:rsid w:val="0082331F"/>
    <w:rsid w:val="008367FB"/>
    <w:rsid w:val="0085741E"/>
    <w:rsid w:val="00865A7A"/>
    <w:rsid w:val="008728A1"/>
    <w:rsid w:val="00873EC7"/>
    <w:rsid w:val="008765EE"/>
    <w:rsid w:val="0088161D"/>
    <w:rsid w:val="008874FC"/>
    <w:rsid w:val="008905B1"/>
    <w:rsid w:val="008A16FD"/>
    <w:rsid w:val="008B3E8D"/>
    <w:rsid w:val="008C15CF"/>
    <w:rsid w:val="008D0B97"/>
    <w:rsid w:val="008D328B"/>
    <w:rsid w:val="008D4409"/>
    <w:rsid w:val="008F256B"/>
    <w:rsid w:val="00917C8B"/>
    <w:rsid w:val="00923BFE"/>
    <w:rsid w:val="00925EF9"/>
    <w:rsid w:val="009276F3"/>
    <w:rsid w:val="00936B5F"/>
    <w:rsid w:val="0094174C"/>
    <w:rsid w:val="009532C5"/>
    <w:rsid w:val="00972AB2"/>
    <w:rsid w:val="009809ED"/>
    <w:rsid w:val="00982F35"/>
    <w:rsid w:val="00990FC9"/>
    <w:rsid w:val="00991C5A"/>
    <w:rsid w:val="009A29CA"/>
    <w:rsid w:val="009B7040"/>
    <w:rsid w:val="009B7055"/>
    <w:rsid w:val="009C7F41"/>
    <w:rsid w:val="009D33BD"/>
    <w:rsid w:val="009E242C"/>
    <w:rsid w:val="009F532C"/>
    <w:rsid w:val="00A02A55"/>
    <w:rsid w:val="00A032CB"/>
    <w:rsid w:val="00A043F6"/>
    <w:rsid w:val="00A15E6A"/>
    <w:rsid w:val="00A16275"/>
    <w:rsid w:val="00A218CC"/>
    <w:rsid w:val="00A4380F"/>
    <w:rsid w:val="00A505C9"/>
    <w:rsid w:val="00A52720"/>
    <w:rsid w:val="00A649A0"/>
    <w:rsid w:val="00AA777D"/>
    <w:rsid w:val="00AB0818"/>
    <w:rsid w:val="00AB4410"/>
    <w:rsid w:val="00AB70A2"/>
    <w:rsid w:val="00AD2EB4"/>
    <w:rsid w:val="00AD5612"/>
    <w:rsid w:val="00AF1561"/>
    <w:rsid w:val="00AF5236"/>
    <w:rsid w:val="00B0188E"/>
    <w:rsid w:val="00B071F5"/>
    <w:rsid w:val="00B3097F"/>
    <w:rsid w:val="00B317CF"/>
    <w:rsid w:val="00B50370"/>
    <w:rsid w:val="00B50571"/>
    <w:rsid w:val="00B5156B"/>
    <w:rsid w:val="00B5460B"/>
    <w:rsid w:val="00B71019"/>
    <w:rsid w:val="00B72369"/>
    <w:rsid w:val="00B732A4"/>
    <w:rsid w:val="00B774CF"/>
    <w:rsid w:val="00B84ECE"/>
    <w:rsid w:val="00B9638C"/>
    <w:rsid w:val="00BA4DEF"/>
    <w:rsid w:val="00BA61EF"/>
    <w:rsid w:val="00BB2D64"/>
    <w:rsid w:val="00BB7D18"/>
    <w:rsid w:val="00BC08EC"/>
    <w:rsid w:val="00BC211F"/>
    <w:rsid w:val="00C0223F"/>
    <w:rsid w:val="00C14FD3"/>
    <w:rsid w:val="00C174A4"/>
    <w:rsid w:val="00C20309"/>
    <w:rsid w:val="00C42B2A"/>
    <w:rsid w:val="00C469A7"/>
    <w:rsid w:val="00C51991"/>
    <w:rsid w:val="00C70E0B"/>
    <w:rsid w:val="00C8140B"/>
    <w:rsid w:val="00CB3293"/>
    <w:rsid w:val="00CB75B0"/>
    <w:rsid w:val="00CB7A18"/>
    <w:rsid w:val="00CC26AD"/>
    <w:rsid w:val="00CD3287"/>
    <w:rsid w:val="00CD6F2B"/>
    <w:rsid w:val="00CE235B"/>
    <w:rsid w:val="00CF7789"/>
    <w:rsid w:val="00D22281"/>
    <w:rsid w:val="00D25CFC"/>
    <w:rsid w:val="00D43C69"/>
    <w:rsid w:val="00D47172"/>
    <w:rsid w:val="00D4733F"/>
    <w:rsid w:val="00D513CF"/>
    <w:rsid w:val="00D51EA7"/>
    <w:rsid w:val="00D5726E"/>
    <w:rsid w:val="00D72F75"/>
    <w:rsid w:val="00D744AD"/>
    <w:rsid w:val="00D85A9E"/>
    <w:rsid w:val="00D95B77"/>
    <w:rsid w:val="00DA3B44"/>
    <w:rsid w:val="00DB451F"/>
    <w:rsid w:val="00DB6AF8"/>
    <w:rsid w:val="00DB7B00"/>
    <w:rsid w:val="00DD36D6"/>
    <w:rsid w:val="00DE1FBF"/>
    <w:rsid w:val="00DF3B40"/>
    <w:rsid w:val="00E05032"/>
    <w:rsid w:val="00E05C19"/>
    <w:rsid w:val="00E12D59"/>
    <w:rsid w:val="00E12F7F"/>
    <w:rsid w:val="00E31B66"/>
    <w:rsid w:val="00E602C7"/>
    <w:rsid w:val="00E648E1"/>
    <w:rsid w:val="00E64EF0"/>
    <w:rsid w:val="00E661D7"/>
    <w:rsid w:val="00E8570A"/>
    <w:rsid w:val="00E9546D"/>
    <w:rsid w:val="00EA5514"/>
    <w:rsid w:val="00EA6698"/>
    <w:rsid w:val="00EB38E8"/>
    <w:rsid w:val="00EB438D"/>
    <w:rsid w:val="00EC5E03"/>
    <w:rsid w:val="00EC79A0"/>
    <w:rsid w:val="00ED2033"/>
    <w:rsid w:val="00ED2ADC"/>
    <w:rsid w:val="00F10547"/>
    <w:rsid w:val="00F1529A"/>
    <w:rsid w:val="00F24356"/>
    <w:rsid w:val="00F3072C"/>
    <w:rsid w:val="00F351A0"/>
    <w:rsid w:val="00F56D6F"/>
    <w:rsid w:val="00F6334F"/>
    <w:rsid w:val="00F72271"/>
    <w:rsid w:val="00F77BD2"/>
    <w:rsid w:val="00F8503E"/>
    <w:rsid w:val="00FA2184"/>
    <w:rsid w:val="00FA301C"/>
    <w:rsid w:val="00FC506C"/>
    <w:rsid w:val="00FD0D74"/>
    <w:rsid w:val="00FD5A0B"/>
    <w:rsid w:val="00FE5F1E"/>
    <w:rsid w:val="00FF0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AF60A"/>
  <w15:docId w15:val="{5A037D38-62BD-4337-AB9A-049CB922F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0309"/>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0E63A1"/>
    <w:rPr>
      <w:rFonts w:ascii="Segoe UI" w:hAnsi="Segoe UI" w:cs="Segoe UI"/>
      <w:sz w:val="18"/>
      <w:szCs w:val="18"/>
    </w:rPr>
  </w:style>
  <w:style w:type="character" w:customStyle="1" w:styleId="ac">
    <w:name w:val="Текст выноски Знак"/>
    <w:basedOn w:val="a0"/>
    <w:link w:val="ab"/>
    <w:uiPriority w:val="99"/>
    <w:semiHidden/>
    <w:rsid w:val="000E63A1"/>
    <w:rPr>
      <w:rFonts w:ascii="Segoe UI" w:hAnsi="Segoe UI" w:cs="Segoe UI"/>
      <w:sz w:val="18"/>
      <w:szCs w:val="18"/>
    </w:rPr>
  </w:style>
  <w:style w:type="paragraph" w:styleId="ad">
    <w:name w:val="List Paragraph"/>
    <w:basedOn w:val="a"/>
    <w:uiPriority w:val="34"/>
    <w:qFormat/>
    <w:rsid w:val="00773C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35534">
      <w:bodyDiv w:val="1"/>
      <w:marLeft w:val="0"/>
      <w:marRight w:val="0"/>
      <w:marTop w:val="0"/>
      <w:marBottom w:val="0"/>
      <w:divBdr>
        <w:top w:val="none" w:sz="0" w:space="0" w:color="auto"/>
        <w:left w:val="none" w:sz="0" w:space="0" w:color="auto"/>
        <w:bottom w:val="none" w:sz="0" w:space="0" w:color="auto"/>
        <w:right w:val="none" w:sz="0" w:space="0" w:color="auto"/>
      </w:divBdr>
    </w:div>
    <w:div w:id="656156798">
      <w:bodyDiv w:val="1"/>
      <w:marLeft w:val="0"/>
      <w:marRight w:val="0"/>
      <w:marTop w:val="0"/>
      <w:marBottom w:val="0"/>
      <w:divBdr>
        <w:top w:val="none" w:sz="0" w:space="0" w:color="auto"/>
        <w:left w:val="none" w:sz="0" w:space="0" w:color="auto"/>
        <w:bottom w:val="none" w:sz="0" w:space="0" w:color="auto"/>
        <w:right w:val="none" w:sz="0" w:space="0" w:color="auto"/>
      </w:divBdr>
    </w:div>
    <w:div w:id="779029060">
      <w:bodyDiv w:val="1"/>
      <w:marLeft w:val="0"/>
      <w:marRight w:val="0"/>
      <w:marTop w:val="0"/>
      <w:marBottom w:val="0"/>
      <w:divBdr>
        <w:top w:val="none" w:sz="0" w:space="0" w:color="auto"/>
        <w:left w:val="none" w:sz="0" w:space="0" w:color="auto"/>
        <w:bottom w:val="none" w:sz="0" w:space="0" w:color="auto"/>
        <w:right w:val="none" w:sz="0" w:space="0" w:color="auto"/>
      </w:divBdr>
      <w:divsChild>
        <w:div w:id="31271560">
          <w:marLeft w:val="0"/>
          <w:marRight w:val="0"/>
          <w:marTop w:val="0"/>
          <w:marBottom w:val="0"/>
          <w:divBdr>
            <w:top w:val="none" w:sz="0" w:space="0" w:color="auto"/>
            <w:left w:val="none" w:sz="0" w:space="0" w:color="auto"/>
            <w:bottom w:val="none" w:sz="0" w:space="0" w:color="auto"/>
            <w:right w:val="none" w:sz="0" w:space="0" w:color="auto"/>
          </w:divBdr>
        </w:div>
        <w:div w:id="960187394">
          <w:marLeft w:val="0"/>
          <w:marRight w:val="0"/>
          <w:marTop w:val="0"/>
          <w:marBottom w:val="0"/>
          <w:divBdr>
            <w:top w:val="none" w:sz="0" w:space="0" w:color="auto"/>
            <w:left w:val="none" w:sz="0" w:space="0" w:color="auto"/>
            <w:bottom w:val="none" w:sz="0" w:space="0" w:color="auto"/>
            <w:right w:val="none" w:sz="0" w:space="0" w:color="auto"/>
          </w:divBdr>
        </w:div>
        <w:div w:id="427772319">
          <w:marLeft w:val="0"/>
          <w:marRight w:val="0"/>
          <w:marTop w:val="0"/>
          <w:marBottom w:val="0"/>
          <w:divBdr>
            <w:top w:val="none" w:sz="0" w:space="0" w:color="auto"/>
            <w:left w:val="none" w:sz="0" w:space="0" w:color="auto"/>
            <w:bottom w:val="none" w:sz="0" w:space="0" w:color="auto"/>
            <w:right w:val="none" w:sz="0" w:space="0" w:color="auto"/>
          </w:divBdr>
        </w:div>
      </w:divsChild>
    </w:div>
    <w:div w:id="957027097">
      <w:bodyDiv w:val="1"/>
      <w:marLeft w:val="0"/>
      <w:marRight w:val="0"/>
      <w:marTop w:val="0"/>
      <w:marBottom w:val="0"/>
      <w:divBdr>
        <w:top w:val="none" w:sz="0" w:space="0" w:color="auto"/>
        <w:left w:val="none" w:sz="0" w:space="0" w:color="auto"/>
        <w:bottom w:val="none" w:sz="0" w:space="0" w:color="auto"/>
        <w:right w:val="none" w:sz="0" w:space="0" w:color="auto"/>
      </w:divBdr>
      <w:divsChild>
        <w:div w:id="683172816">
          <w:marLeft w:val="0"/>
          <w:marRight w:val="0"/>
          <w:marTop w:val="0"/>
          <w:marBottom w:val="0"/>
          <w:divBdr>
            <w:top w:val="none" w:sz="0" w:space="0" w:color="auto"/>
            <w:left w:val="none" w:sz="0" w:space="0" w:color="auto"/>
            <w:bottom w:val="none" w:sz="0" w:space="0" w:color="auto"/>
            <w:right w:val="none" w:sz="0" w:space="0" w:color="auto"/>
          </w:divBdr>
        </w:div>
      </w:divsChild>
    </w:div>
    <w:div w:id="1020206038">
      <w:bodyDiv w:val="1"/>
      <w:marLeft w:val="0"/>
      <w:marRight w:val="0"/>
      <w:marTop w:val="0"/>
      <w:marBottom w:val="0"/>
      <w:divBdr>
        <w:top w:val="none" w:sz="0" w:space="0" w:color="auto"/>
        <w:left w:val="none" w:sz="0" w:space="0" w:color="auto"/>
        <w:bottom w:val="none" w:sz="0" w:space="0" w:color="auto"/>
        <w:right w:val="none" w:sz="0" w:space="0" w:color="auto"/>
      </w:divBdr>
    </w:div>
    <w:div w:id="1639072543">
      <w:bodyDiv w:val="1"/>
      <w:marLeft w:val="0"/>
      <w:marRight w:val="0"/>
      <w:marTop w:val="0"/>
      <w:marBottom w:val="0"/>
      <w:divBdr>
        <w:top w:val="none" w:sz="0" w:space="0" w:color="auto"/>
        <w:left w:val="none" w:sz="0" w:space="0" w:color="auto"/>
        <w:bottom w:val="none" w:sz="0" w:space="0" w:color="auto"/>
        <w:right w:val="none" w:sz="0" w:space="0" w:color="auto"/>
      </w:divBdr>
      <w:divsChild>
        <w:div w:id="141968864">
          <w:marLeft w:val="0"/>
          <w:marRight w:val="0"/>
          <w:marTop w:val="0"/>
          <w:marBottom w:val="0"/>
          <w:divBdr>
            <w:top w:val="none" w:sz="0" w:space="0" w:color="auto"/>
            <w:left w:val="none" w:sz="0" w:space="0" w:color="auto"/>
            <w:bottom w:val="none" w:sz="0" w:space="0" w:color="auto"/>
            <w:right w:val="none" w:sz="0" w:space="0" w:color="auto"/>
          </w:divBdr>
        </w:div>
        <w:div w:id="1333491912">
          <w:marLeft w:val="0"/>
          <w:marRight w:val="0"/>
          <w:marTop w:val="0"/>
          <w:marBottom w:val="0"/>
          <w:divBdr>
            <w:top w:val="none" w:sz="0" w:space="0" w:color="auto"/>
            <w:left w:val="none" w:sz="0" w:space="0" w:color="auto"/>
            <w:bottom w:val="none" w:sz="0" w:space="0" w:color="auto"/>
            <w:right w:val="none" w:sz="0" w:space="0" w:color="auto"/>
          </w:divBdr>
        </w:div>
        <w:div w:id="9655441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FB6D35-0C6C-45C6-AAAF-69ED817E0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1162</Words>
  <Characters>6627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Ольга Владимировна</dc:creator>
  <dc:description>exif_MSED_a57178e84b80a1e95245531aa605652bc618fd70f22c2bec3506c83f2ae2af08</dc:description>
  <cp:lastModifiedBy>Microsoft Office 2016</cp:lastModifiedBy>
  <cp:revision>5</cp:revision>
  <cp:lastPrinted>2019-09-26T11:18:00Z</cp:lastPrinted>
  <dcterms:created xsi:type="dcterms:W3CDTF">2019-11-15T10:17:00Z</dcterms:created>
  <dcterms:modified xsi:type="dcterms:W3CDTF">2021-11-06T13:36:00Z</dcterms:modified>
</cp:coreProperties>
</file>